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颈动脉手术器械套、</w:t>
      </w:r>
      <w:r>
        <w:rPr>
          <w:rFonts w:hint="eastAsia" w:ascii="Times New Roman" w:hAnsi="Times New Roman"/>
          <w:color w:val="auto"/>
          <w:sz w:val="32"/>
          <w:szCs w:val="32"/>
        </w:rPr>
        <w:t>超声波雾化器的采购公告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ind w:left="0" w:leftChars="0" w:firstLine="420" w:firstLineChars="175"/>
        <w:jc w:val="left"/>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颈动脉手术器械套、</w:t>
      </w:r>
      <w:r>
        <w:rPr>
          <w:rFonts w:hint="eastAsia" w:ascii="Times New Roman" w:hAnsi="Times New Roman"/>
          <w:color w:val="auto"/>
          <w:sz w:val="24"/>
        </w:rPr>
        <w:t>超声波雾化器</w:t>
      </w:r>
      <w:r>
        <w:rPr>
          <w:rFonts w:ascii="Times New Roman" w:hAnsi="Times New Roman"/>
          <w:color w:val="auto"/>
          <w:sz w:val="24"/>
        </w:rPr>
        <w:t>，兹以公告方式邀请符合要求的供应商参加比选。</w:t>
      </w:r>
    </w:p>
    <w:p>
      <w:pPr>
        <w:jc w:val="left"/>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颈动脉手术器械套、</w:t>
      </w:r>
      <w:r>
        <w:rPr>
          <w:rFonts w:hint="eastAsia" w:ascii="Times New Roman" w:hAnsi="Times New Roman"/>
          <w:bCs/>
          <w:color w:val="auto"/>
          <w:sz w:val="24"/>
        </w:rPr>
        <w:t>超声波雾化器</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bookmarkStart w:id="52" w:name="_GoBack"/>
      <w:bookmarkEnd w:id="52"/>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160"/>
        <w:gridCol w:w="855"/>
        <w:gridCol w:w="2310"/>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包号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01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eastAsia="zh-CN"/>
              </w:rPr>
              <w:t>颈动脉手术器械套</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1套</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val="en-US" w:eastAsia="zh-CN"/>
              </w:rPr>
              <w:t>20</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02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eastAsia="zh-CN"/>
              </w:rPr>
              <w:t>超声波雾化器</w:t>
            </w:r>
          </w:p>
        </w:tc>
        <w:tc>
          <w:tcPr>
            <w:tcW w:w="85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1台</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val="en-US" w:eastAsia="zh-CN"/>
              </w:rPr>
              <w:t>3.5</w:t>
            </w:r>
          </w:p>
        </w:tc>
        <w:tc>
          <w:tcPr>
            <w:tcW w:w="23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12</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14</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18</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b/>
          <w:bCs/>
          <w:color w:val="auto"/>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rPr>
          <w:rFonts w:hint="eastAsia" w:ascii="Times New Roman" w:hAnsi="Times New Roman"/>
          <w:b/>
          <w:bCs/>
          <w:color w:val="auto"/>
          <w:sz w:val="24"/>
          <w:lang w:eastAsia="zh-CN"/>
        </w:rPr>
      </w:pP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11</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color w:val="auto"/>
          <w:sz w:val="32"/>
          <w:szCs w:val="32"/>
          <w:lang w:val="en-US" w:eastAsia="zh-CN"/>
        </w:rPr>
        <w:t>颈动脉手术器械套、</w:t>
      </w:r>
      <w:r>
        <w:rPr>
          <w:rFonts w:hint="eastAsia" w:ascii="Times New Roman" w:hAnsi="Times New Roman"/>
          <w:color w:val="auto"/>
          <w:sz w:val="32"/>
          <w:szCs w:val="32"/>
        </w:rPr>
        <w:t>超声波雾化器</w:t>
      </w:r>
      <w:r>
        <w:rPr>
          <w:rFonts w:hint="eastAsia" w:ascii="Times New Roman" w:hAnsi="Times New Roman"/>
          <w:color w:val="auto"/>
          <w:sz w:val="32"/>
          <w:szCs w:val="32"/>
          <w:lang w:eastAsia="zh-CN"/>
        </w:rPr>
        <w:t>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颈动脉手术器械套、</w:t>
      </w:r>
      <w:r>
        <w:rPr>
          <w:rFonts w:hint="eastAsia" w:ascii="Times New Roman" w:hAnsi="Times New Roman"/>
          <w:color w:val="auto"/>
          <w:sz w:val="24"/>
        </w:rPr>
        <w:t>超声波雾化器</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颈动脉手术器械套、</w:t>
      </w:r>
      <w:r>
        <w:rPr>
          <w:rFonts w:hint="eastAsia" w:ascii="Times New Roman" w:hAnsi="Times New Roman"/>
          <w:color w:val="auto"/>
          <w:sz w:val="24"/>
        </w:rPr>
        <w:t>超声波雾化器</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30" w:type="pct"/>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365"/>
        <w:gridCol w:w="879"/>
        <w:gridCol w:w="2066"/>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eastAsia="zh-CN"/>
              </w:rPr>
            </w:pPr>
            <w:r>
              <w:rPr>
                <w:rFonts w:hint="eastAsia" w:ascii="Times New Roman" w:hAnsi="Times New Roman"/>
                <w:b/>
                <w:color w:val="auto"/>
                <w:sz w:val="24"/>
                <w:lang w:eastAsia="zh-CN"/>
              </w:rPr>
              <w:t>包号</w:t>
            </w:r>
          </w:p>
        </w:tc>
        <w:tc>
          <w:tcPr>
            <w:tcW w:w="140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52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2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01</w:t>
            </w:r>
          </w:p>
        </w:tc>
        <w:tc>
          <w:tcPr>
            <w:tcW w:w="14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颈动脉手术器械套</w:t>
            </w:r>
          </w:p>
        </w:tc>
        <w:tc>
          <w:tcPr>
            <w:tcW w:w="5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1套</w:t>
            </w:r>
          </w:p>
        </w:tc>
        <w:tc>
          <w:tcPr>
            <w:tcW w:w="12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20</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02</w:t>
            </w:r>
          </w:p>
        </w:tc>
        <w:tc>
          <w:tcPr>
            <w:tcW w:w="140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超声波雾化器</w:t>
            </w:r>
          </w:p>
        </w:tc>
        <w:tc>
          <w:tcPr>
            <w:tcW w:w="52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1台</w:t>
            </w:r>
          </w:p>
        </w:tc>
        <w:tc>
          <w:tcPr>
            <w:tcW w:w="1229"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lang w:val="en-US" w:eastAsia="zh-CN"/>
              </w:rPr>
            </w:pPr>
            <w:r>
              <w:rPr>
                <w:rFonts w:hint="eastAsia" w:ascii="Times New Roman" w:hAnsi="Times New Roman"/>
                <w:color w:val="auto"/>
                <w:sz w:val="24"/>
                <w:lang w:val="en-US" w:eastAsia="zh-CN"/>
              </w:rPr>
              <w:t>3.5</w:t>
            </w:r>
          </w:p>
        </w:tc>
        <w:tc>
          <w:tcPr>
            <w:tcW w:w="13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lang w:eastAsia="zh-CN"/>
              </w:rPr>
            </w:pPr>
            <w:r>
              <w:rPr>
                <w:rFonts w:hint="eastAsia" w:ascii="Times New Roman" w:hAnsi="Times New Roman"/>
                <w:color w:val="auto"/>
                <w:sz w:val="24"/>
                <w:lang w:eastAsia="zh-CN"/>
              </w:rPr>
              <w:t>否</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7、具有医疗器械经营企业许可证或医疗器械经营备案凭证（设备为I类医疗器械、不属于医疗器械不提供）。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8、法定代表人授权委托书；</w:t>
      </w:r>
    </w:p>
    <w:p>
      <w:pPr>
        <w:autoSpaceDE w:val="0"/>
        <w:autoSpaceDN w:val="0"/>
        <w:adjustRightInd w:val="0"/>
        <w:spacing w:line="360" w:lineRule="auto"/>
        <w:ind w:left="360" w:hanging="360" w:hangingChars="150"/>
        <w:contextualSpacing/>
        <w:rPr>
          <w:rFonts w:hAnsi="宋体"/>
          <w:color w:val="auto"/>
          <w:sz w:val="24"/>
        </w:rPr>
      </w:pPr>
      <w:r>
        <w:rPr>
          <w:rFonts w:hint="eastAsia" w:ascii="Times New Roman" w:hAnsi="Times New Roman"/>
          <w:color w:val="auto"/>
          <w:kern w:val="0"/>
          <w:sz w:val="24"/>
          <w:lang w:val="zh-CN"/>
        </w:rPr>
        <w:t>9、</w:t>
      </w:r>
      <w:r>
        <w:rPr>
          <w:rFonts w:hint="eastAsia" w:hAnsi="宋体"/>
          <w:color w:val="auto"/>
          <w:sz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en-US" w:eastAsia="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12</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14</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18</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时</w:t>
      </w:r>
      <w:r>
        <w:rPr>
          <w:rFonts w:hint="eastAsia" w:ascii="Times New Roman" w:hAnsi="Times New Roman"/>
          <w:b w:val="0"/>
          <w:bCs/>
          <w:color w:val="auto"/>
          <w:kern w:val="0"/>
          <w:sz w:val="24"/>
          <w:lang w:val="en-US" w:eastAsia="zh-CN"/>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pStyle w:val="43"/>
        <w:contextualSpacing/>
        <w:jc w:val="left"/>
        <w:rPr>
          <w:color w:val="auto"/>
          <w:sz w:val="24"/>
        </w:rPr>
      </w:pPr>
      <w:bookmarkStart w:id="1" w:name="_Toc52036323"/>
      <w:bookmarkStart w:id="2" w:name="_Toc520455380"/>
      <w:bookmarkStart w:id="3" w:name="_Toc418004672"/>
      <w:r>
        <w:rPr>
          <w:color w:val="auto"/>
          <w:sz w:val="36"/>
          <w:szCs w:val="36"/>
        </w:rPr>
        <w:t xml:space="preserve"> </w:t>
      </w:r>
      <w:bookmarkEnd w:id="1"/>
      <w:bookmarkEnd w:id="2"/>
    </w:p>
    <w:bookmarkEnd w:id="3"/>
    <w:p>
      <w:pPr>
        <w:rPr>
          <w:rFonts w:ascii="Times New Roman" w:hAnsi="Times New Roman"/>
          <w:b/>
          <w:color w:val="auto"/>
          <w:sz w:val="36"/>
          <w:szCs w:val="36"/>
        </w:rPr>
      </w:pPr>
      <w:bookmarkStart w:id="4"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center"/>
        <w:rPr>
          <w:rFonts w:ascii="黑体" w:hAnsi="黑体" w:eastAsia="黑体"/>
          <w:b/>
          <w:bCs/>
          <w:color w:val="auto"/>
          <w:sz w:val="32"/>
        </w:rPr>
      </w:pPr>
      <w:bookmarkStart w:id="5" w:name="_Toc233048245"/>
      <w:bookmarkStart w:id="6" w:name="_Toc350964160"/>
      <w:r>
        <w:rPr>
          <w:rFonts w:hint="eastAsia" w:ascii="黑体" w:hAnsi="黑体" w:eastAsia="黑体"/>
          <w:b/>
          <w:bCs/>
          <w:color w:val="auto"/>
          <w:sz w:val="32"/>
          <w:lang w:eastAsia="zh-CN"/>
        </w:rPr>
        <w:t>第</w:t>
      </w:r>
      <w:r>
        <w:rPr>
          <w:rFonts w:hint="eastAsia" w:ascii="黑体" w:hAnsi="黑体" w:eastAsia="黑体"/>
          <w:b/>
          <w:bCs/>
          <w:color w:val="auto"/>
          <w:sz w:val="32"/>
          <w:lang w:val="en-US" w:eastAsia="zh-CN"/>
        </w:rPr>
        <w:t>01包</w:t>
      </w:r>
      <w:r>
        <w:rPr>
          <w:rFonts w:hint="eastAsia" w:ascii="黑体" w:hAnsi="黑体" w:eastAsia="黑体"/>
          <w:b/>
          <w:bCs/>
          <w:color w:val="auto"/>
          <w:sz w:val="32"/>
        </w:rPr>
        <w:t>颈动脉手术器械技术参数</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 手术剪1把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1.1采用碳钨合金制成，超薄超利刀刃</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★1.2坚硬的铝钛氮合金涂层</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★1.3采用镶片技术与涂层工艺结合，抵御器械磨损和腐蚀</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★1.4 采用数字矩阵编码，便于计算机系统进行管理</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1.5长度≥180mm</w:t>
      </w:r>
      <w:r>
        <w:rPr>
          <w:rFonts w:hint="eastAsia" w:cs="Times New Roman" w:asciiTheme="minorEastAsia" w:hAnsiTheme="minorEastAsia" w:eastAsiaTheme="minorEastAsia"/>
          <w:color w:val="auto"/>
          <w:kern w:val="13"/>
          <w:sz w:val="24"/>
          <w:szCs w:val="24"/>
          <w:lang w:val="en-US" w:eastAsia="zh-CN" w:bidi="ar-SA"/>
        </w:rPr>
        <w:tab/>
      </w:r>
      <w:r>
        <w:rPr>
          <w:rFonts w:hint="eastAsia" w:cs="Times New Roman" w:asciiTheme="minorEastAsia" w:hAnsiTheme="minorEastAsia" w:eastAsiaTheme="minorEastAsia"/>
          <w:color w:val="auto"/>
          <w:kern w:val="13"/>
          <w:sz w:val="24"/>
          <w:szCs w:val="24"/>
          <w:lang w:val="en-US" w:eastAsia="zh-CN" w:bidi="ar-SA"/>
        </w:rPr>
        <w:t xml:space="preserve">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 45°组织剪1把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2.1采用医用不锈钢制成，表面经亚光处理，术中无反光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2.2长度≥180mm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 显微镊1把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3.1采用医用不锈钢制成，表面经亚光处理，术中无反光。工作端碳钨镶片设计，尾部带金色标记易区分</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3.2长度≥180mm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4.显微镊1把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4.1采用医用不锈钢制成，工作端金刚砂涂层，尾部带金色标记易区分，表面经亚光处理，术中无反光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4.2长度≥185mm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4.3直径≥1mm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 组织镊2把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5.1采用医用不锈钢制成， 齿无损伤设计，表面经亚光处理，术中无反光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5.2长度≥200mm，有效宽度≥2mm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6.分离结扎钳 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6.1采用医用不锈钢制成，表面经亚光处理，术中无反光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6.2长度≥180mm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7.鼻剥离器1把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7.1采用医用不锈钢制成，表面经亚光处理，术中无反光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7.2长度≥185mm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7.3锋利/钝 ：一头锋利，一头钝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8.无创血管阻断钳 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8.1采用医用不锈钢制成，齿无损伤设计，表面经亚光处理，术中无反光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8.2长度≥115mm，有效长度≥50mm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9.45°血管夹1把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9.1采用医用不锈钢制成，齿无损伤设计，表面经亚光处理，术中无反光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9.2长度≥125mm，有效长度≥53mm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default"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10.无损伤血管钳4把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10.1 采用医用不锈钢制成，齿无损伤设计，表面经亚光处理，术中无反光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10.2 60°无损伤血管钳1把，长度≥160mm，有效长度≥30mm</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10.3 45°无损伤血管钳1把，长度≥120mm，有效长度≥31mm</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10.4 直无损伤血管钳1把，长度≥70mm，有效长度≥25mm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10.5 弯无损伤血管钳1把，长度≥65mm，有效长度≥25mm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11.带锁扣显微持针钳1把</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11.1采用医用不锈钢制成，工作端钻石涂层，尾部带金色标记易区分，表面经亚光处理，术中无反光</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11.2长度≥185mm      </w:t>
      </w:r>
    </w:p>
    <w:p>
      <w:pPr>
        <w:jc w:val="center"/>
        <w:rPr>
          <w:rFonts w:hint="eastAsia" w:ascii="黑体" w:hAnsi="黑体" w:eastAsia="黑体"/>
          <w:b/>
          <w:bCs/>
          <w:color w:val="auto"/>
          <w:sz w:val="32"/>
        </w:rPr>
      </w:pPr>
      <w:r>
        <w:rPr>
          <w:rFonts w:hint="eastAsia" w:ascii="黑体" w:hAnsi="黑体" w:eastAsia="黑体"/>
          <w:b/>
          <w:bCs/>
          <w:color w:val="auto"/>
          <w:sz w:val="32"/>
          <w:lang w:eastAsia="zh-CN"/>
        </w:rPr>
        <w:t>第</w:t>
      </w:r>
      <w:r>
        <w:rPr>
          <w:rFonts w:hint="eastAsia" w:ascii="黑体" w:hAnsi="黑体" w:eastAsia="黑体"/>
          <w:b/>
          <w:bCs/>
          <w:color w:val="auto"/>
          <w:sz w:val="32"/>
          <w:lang w:val="en-US" w:eastAsia="zh-CN"/>
        </w:rPr>
        <w:t>02包</w:t>
      </w:r>
      <w:r>
        <w:rPr>
          <w:rFonts w:hint="eastAsia" w:ascii="黑体" w:hAnsi="黑体" w:eastAsia="黑体"/>
          <w:b/>
          <w:bCs/>
          <w:color w:val="auto"/>
          <w:sz w:val="32"/>
        </w:rPr>
        <w:t>超声波雾化器</w:t>
      </w:r>
    </w:p>
    <w:p>
      <w:pPr>
        <w:rPr>
          <w:rFonts w:hint="eastAsia" w:ascii="宋体" w:hAnsi="宋体" w:cs="宋体"/>
          <w:color w:val="auto"/>
          <w:sz w:val="24"/>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1、温度设置范围：30~45℃；</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2、温度异常报警显示功能；</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3、出雾口检测温度，保证出雾温度与实际显示温度相同；</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4、智能蓝牙无线温度检测功能；</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5、主机超声工作频率：2.4MHz±10%；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6、雾粒中位直径：4μm，直径小于5μm的雾粒百分比大于65%；</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7、最大雾化率：≥1ml/min；</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8、整机噪声：≤50dB（距离主机1m）；</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9、具有定时功能；</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10、风量、雾量可以调节；</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 xml:space="preserve">11、低水位停机功能：水槽内水位过低时停止雾化； </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12、有氧气预留口，可搭配制氧机输出氧气治疗。</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hint="eastAsia" w:cs="Times New Roman" w:asciiTheme="minorEastAsia" w:hAnsiTheme="minorEastAsia" w:eastAsiaTheme="minorEastAsia"/>
          <w:color w:val="auto"/>
          <w:kern w:val="13"/>
          <w:sz w:val="24"/>
          <w:szCs w:val="24"/>
          <w:lang w:val="en-US" w:eastAsia="zh-CN" w:bidi="ar-SA"/>
        </w:rPr>
      </w:pP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  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  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  交货期：</w:t>
      </w:r>
      <w:r>
        <w:rPr>
          <w:rFonts w:hint="eastAsia" w:asciiTheme="minorEastAsia" w:hAnsiTheme="minorEastAsia" w:eastAsiaTheme="minorEastAsia"/>
          <w:color w:val="auto"/>
          <w:kern w:val="13"/>
          <w:sz w:val="24"/>
          <w:lang w:eastAsia="zh-CN"/>
        </w:rPr>
        <w:t>第</w:t>
      </w:r>
      <w:r>
        <w:rPr>
          <w:rFonts w:hint="eastAsia" w:asciiTheme="minorEastAsia" w:hAnsiTheme="minorEastAsia" w:eastAsiaTheme="minorEastAsia"/>
          <w:color w:val="auto"/>
          <w:kern w:val="13"/>
          <w:sz w:val="24"/>
          <w:lang w:val="en-US" w:eastAsia="zh-CN"/>
        </w:rPr>
        <w:t>01包交货期为合同生效后90日；</w:t>
      </w:r>
      <w:r>
        <w:rPr>
          <w:rFonts w:hint="eastAsia" w:asciiTheme="minorEastAsia" w:hAnsiTheme="minorEastAsia" w:eastAsiaTheme="minorEastAsia"/>
          <w:color w:val="auto"/>
          <w:kern w:val="13"/>
          <w:sz w:val="24"/>
          <w:lang w:eastAsia="zh-CN"/>
        </w:rPr>
        <w:t>第</w:t>
      </w:r>
      <w:r>
        <w:rPr>
          <w:rFonts w:hint="eastAsia" w:asciiTheme="minorEastAsia" w:hAnsiTheme="minorEastAsia" w:eastAsiaTheme="minorEastAsia"/>
          <w:color w:val="auto"/>
          <w:kern w:val="13"/>
          <w:sz w:val="24"/>
          <w:lang w:val="en-US" w:eastAsia="zh-CN"/>
        </w:rPr>
        <w:t>02包交货期为</w:t>
      </w:r>
      <w:r>
        <w:rPr>
          <w:rFonts w:asciiTheme="minorEastAsia" w:hAnsiTheme="minorEastAsia" w:eastAsiaTheme="minorEastAsia"/>
          <w:color w:val="auto"/>
          <w:kern w:val="13"/>
          <w:sz w:val="24"/>
        </w:rPr>
        <w:t>签订合同后</w:t>
      </w:r>
      <w:r>
        <w:rPr>
          <w:rFonts w:hint="eastAsia" w:asciiTheme="minorEastAsia" w:hAnsiTheme="minorEastAsia" w:eastAsiaTheme="minorEastAsia"/>
          <w:color w:val="auto"/>
          <w:kern w:val="13"/>
          <w:sz w:val="24"/>
          <w:lang w:val="en-US" w:eastAsia="zh-CN"/>
        </w:rPr>
        <w:t>30</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质保期：第</w:t>
      </w:r>
      <w:r>
        <w:rPr>
          <w:rFonts w:hint="eastAsia" w:asciiTheme="minorEastAsia" w:hAnsiTheme="minorEastAsia" w:eastAsiaTheme="minorEastAsia"/>
          <w:color w:val="auto"/>
          <w:kern w:val="13"/>
          <w:sz w:val="24"/>
          <w:lang w:val="en-US" w:eastAsia="zh-CN"/>
        </w:rPr>
        <w:t>01</w:t>
      </w:r>
      <w:r>
        <w:rPr>
          <w:rFonts w:hint="eastAsia" w:asciiTheme="minorEastAsia" w:hAnsiTheme="minorEastAsia" w:eastAsiaTheme="minorEastAsia"/>
          <w:color w:val="auto"/>
          <w:kern w:val="13"/>
          <w:sz w:val="24"/>
          <w:lang w:eastAsia="zh-CN"/>
        </w:rPr>
        <w:t>包质保期为验收合格后至少</w:t>
      </w:r>
      <w:r>
        <w:rPr>
          <w:rFonts w:hint="eastAsia" w:asciiTheme="minorEastAsia" w:hAnsiTheme="minorEastAsia" w:eastAsiaTheme="minorEastAsia"/>
          <w:color w:val="auto"/>
          <w:kern w:val="13"/>
          <w:sz w:val="24"/>
          <w:lang w:val="en-US" w:eastAsia="zh-CN"/>
        </w:rPr>
        <w:t>3个月；</w:t>
      </w:r>
      <w:r>
        <w:rPr>
          <w:rFonts w:hint="eastAsia" w:asciiTheme="minorEastAsia" w:hAnsiTheme="minorEastAsia" w:eastAsiaTheme="minorEastAsia"/>
          <w:color w:val="auto"/>
          <w:kern w:val="13"/>
          <w:sz w:val="24"/>
          <w:lang w:eastAsia="zh-CN"/>
        </w:rPr>
        <w:t>第</w:t>
      </w:r>
      <w:r>
        <w:rPr>
          <w:rFonts w:hint="eastAsia" w:asciiTheme="minorEastAsia" w:hAnsiTheme="minorEastAsia" w:eastAsiaTheme="minorEastAsia"/>
          <w:color w:val="auto"/>
          <w:kern w:val="13"/>
          <w:sz w:val="24"/>
          <w:lang w:val="en-US" w:eastAsia="zh-CN"/>
        </w:rPr>
        <w:t>02</w:t>
      </w:r>
      <w:r>
        <w:rPr>
          <w:rFonts w:hint="eastAsia" w:asciiTheme="minorEastAsia" w:hAnsiTheme="minorEastAsia" w:eastAsiaTheme="minorEastAsia"/>
          <w:color w:val="auto"/>
          <w:kern w:val="13"/>
          <w:sz w:val="24"/>
          <w:lang w:eastAsia="zh-CN"/>
        </w:rPr>
        <w:t>包质保期为</w:t>
      </w:r>
      <w:r>
        <w:rPr>
          <w:rFonts w:asciiTheme="minorEastAsia" w:hAnsiTheme="minorEastAsia" w:eastAsiaTheme="minorEastAsia"/>
          <w:color w:val="auto"/>
          <w:kern w:val="13"/>
          <w:sz w:val="24"/>
        </w:rPr>
        <w:t>验收合格后</w:t>
      </w:r>
      <w:r>
        <w:rPr>
          <w:rFonts w:hint="eastAsia" w:asciiTheme="minorEastAsia" w:hAnsiTheme="minorEastAsia" w:eastAsiaTheme="minorEastAsia"/>
          <w:color w:val="auto"/>
          <w:kern w:val="13"/>
          <w:sz w:val="24"/>
          <w:lang w:eastAsia="zh-CN"/>
        </w:rPr>
        <w:t>至少</w:t>
      </w:r>
      <w:r>
        <w:rPr>
          <w:rFonts w:hint="eastAsia" w:asciiTheme="minorEastAsia" w:hAnsiTheme="minorEastAsia" w:eastAsiaTheme="minorEastAsia"/>
          <w:color w:val="auto"/>
          <w:kern w:val="13"/>
          <w:sz w:val="24"/>
          <w:lang w:val="en-US" w:eastAsia="zh-CN"/>
        </w:rPr>
        <w:t>1</w:t>
      </w:r>
      <w:r>
        <w:rPr>
          <w:rFonts w:asciiTheme="minorEastAsia" w:hAnsiTheme="minorEastAsia" w:eastAsiaTheme="minorEastAsia"/>
          <w:color w:val="auto"/>
          <w:kern w:val="13"/>
          <w:sz w:val="24"/>
        </w:rPr>
        <w:t>年。</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sz w:val="24"/>
        </w:rPr>
      </w:pPr>
      <w:r>
        <w:rPr>
          <w:rFonts w:hint="eastAsia" w:asciiTheme="minorEastAsia" w:hAnsiTheme="minorEastAsia" w:eastAsiaTheme="minorEastAsia"/>
          <w:color w:val="auto"/>
          <w:kern w:val="13"/>
          <w:sz w:val="24"/>
        </w:rPr>
        <w:t>2.2</w:t>
      </w:r>
      <w:r>
        <w:rPr>
          <w:rFonts w:asciiTheme="minorEastAsia" w:hAnsiTheme="minorEastAsia" w:eastAsiaTheme="minorEastAsia"/>
          <w:color w:val="auto"/>
          <w:kern w:val="13"/>
          <w:sz w:val="24"/>
        </w:rPr>
        <w:t>在质保期内</w:t>
      </w:r>
      <w:r>
        <w:rPr>
          <w:rFonts w:hint="eastAsia" w:asciiTheme="minorEastAsia" w:hAnsiTheme="minorEastAsia" w:eastAsiaTheme="minorEastAsia"/>
          <w:color w:val="auto"/>
          <w:kern w:val="13"/>
          <w:sz w:val="24"/>
        </w:rPr>
        <w:t>，</w:t>
      </w:r>
      <w:r>
        <w:rPr>
          <w:rFonts w:asciiTheme="minorEastAsia" w:hAnsiTheme="minorEastAsia" w:eastAsiaTheme="minorEastAsia"/>
          <w:color w:val="auto"/>
          <w:sz w:val="24"/>
        </w:rPr>
        <w:t>接到采购人报修通知后卖方响应时间≤2小时；提出解决方案≤12小时；维修人员到达现场时间≤48小时（不可抗力因素除外）。保修期内对采购人进行不少于1次的回访，了解用采购人设备的使用情况，及时解决有关问题。</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sz w:val="24"/>
        </w:rPr>
        <w:t>2.3</w:t>
      </w:r>
      <w:r>
        <w:rPr>
          <w:rFonts w:asciiTheme="minorEastAsia" w:hAnsiTheme="minorEastAsia" w:eastAsiaTheme="minorEastAsia"/>
          <w:color w:val="auto"/>
          <w:sz w:val="24"/>
        </w:rPr>
        <w:t>在设备使用期间，保证国内零配件送达时间不超过7天，进品零配件送达时间不超过20天。如果设备停产，其备件的供应期可达到8年及以上，并以优惠的价格提供该设备所需的维修零配件（在承诺书中标明零配件价格）</w:t>
      </w:r>
      <w:r>
        <w:rPr>
          <w:rFonts w:hint="eastAsia" w:asciiTheme="minorEastAsia" w:hAnsiTheme="minorEastAsia" w:eastAsiaTheme="minorEastAsia"/>
          <w:color w:val="auto"/>
          <w:sz w:val="24"/>
          <w:lang w:eastAsia="zh-CN"/>
        </w:rPr>
        <w:t>。</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 xml:space="preserve">3.1  </w:t>
      </w:r>
      <w:r>
        <w:rPr>
          <w:rFonts w:hint="eastAsia" w:asciiTheme="minorEastAsia" w:hAnsiTheme="minorEastAsia" w:eastAsiaTheme="minorEastAsia"/>
          <w:color w:val="auto"/>
          <w:kern w:val="13"/>
          <w:sz w:val="24"/>
          <w:lang w:eastAsia="zh-CN"/>
        </w:rPr>
        <w:t>第</w:t>
      </w:r>
      <w:r>
        <w:rPr>
          <w:rFonts w:hint="eastAsia" w:asciiTheme="minorEastAsia" w:hAnsiTheme="minorEastAsia" w:eastAsiaTheme="minorEastAsia"/>
          <w:color w:val="auto"/>
          <w:kern w:val="13"/>
          <w:sz w:val="24"/>
          <w:lang w:val="en-US" w:eastAsia="zh-CN"/>
        </w:rPr>
        <w:t>01包付款方式为</w:t>
      </w:r>
      <w:r>
        <w:rPr>
          <w:rFonts w:asciiTheme="minorEastAsia" w:hAnsiTheme="minorEastAsia" w:eastAsiaTheme="minorEastAsia"/>
          <w:color w:val="auto"/>
          <w:sz w:val="24"/>
        </w:rPr>
        <w:t>货到安装验收合格1个月内付合同总价的70% ，正常使用</w:t>
      </w:r>
      <w:r>
        <w:rPr>
          <w:rFonts w:hint="eastAsia" w:asciiTheme="minorEastAsia" w:hAnsiTheme="minorEastAsia" w:eastAsiaTheme="minorEastAsia"/>
          <w:color w:val="auto"/>
          <w:sz w:val="24"/>
          <w:lang w:val="en-US" w:eastAsia="zh-CN"/>
        </w:rPr>
        <w:t>2个月</w:t>
      </w:r>
      <w:r>
        <w:rPr>
          <w:rFonts w:asciiTheme="minorEastAsia" w:hAnsiTheme="minorEastAsia" w:eastAsiaTheme="minorEastAsia"/>
          <w:color w:val="auto"/>
          <w:sz w:val="24"/>
        </w:rPr>
        <w:t>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color w:val="auto"/>
          <w:kern w:val="13"/>
          <w:sz w:val="24"/>
          <w:lang w:val="en-US" w:eastAsia="zh-CN"/>
        </w:rPr>
        <w:t>第02包付款方式为</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  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r>
        <w:rPr>
          <w:rFonts w:asciiTheme="minorEastAsia" w:hAnsiTheme="minorEastAsia" w:eastAsiaTheme="minorEastAsia"/>
          <w:color w:val="auto"/>
          <w:sz w:val="24"/>
          <w:szCs w:val="24"/>
        </w:rPr>
        <w:br w:type="page"/>
      </w:r>
      <w:bookmarkStart w:id="7" w:name="_Toc52036325"/>
      <w:bookmarkStart w:id="8" w:name="_Toc520455383"/>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7"/>
      <w:bookmarkEnd w:id="8"/>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8、法定代表人/单位负责人授权委托书（法定代表人/单位负责人或自然人直接参与投标的除外）。</w:t>
      </w:r>
    </w:p>
    <w:p>
      <w:pPr>
        <w:jc w:val="left"/>
        <w:rPr>
          <w:rFonts w:ascii="Times New Roman" w:hAnsi="Times New Roman"/>
          <w:color w:val="auto"/>
          <w:kern w:val="0"/>
          <w:sz w:val="24"/>
          <w:lang w:val="zh-CN"/>
        </w:rPr>
      </w:pPr>
      <w:r>
        <w:rPr>
          <w:rFonts w:ascii="Times New Roman" w:hAnsi="Times New Roman"/>
          <w:color w:val="auto"/>
          <w:kern w:val="0"/>
          <w:sz w:val="24"/>
          <w:lang w:val="zh-CN"/>
        </w:rPr>
        <w:t>9、</w:t>
      </w:r>
      <w:r>
        <w:rPr>
          <w:rFonts w:hint="eastAsia" w:ascii="Times New Roman" w:hAnsi="Times New Roman"/>
          <w:color w:val="auto"/>
          <w:kern w:val="0"/>
          <w:sz w:val="24"/>
          <w:lang w:val="zh-CN"/>
        </w:rPr>
        <w:t>提供产品的医疗器械产品注册证或备案凭证复印件（非医疗器械产品除外）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9" w:name="_Toc33709793"/>
      <w:bookmarkStart w:id="10" w:name="_Toc34051805"/>
      <w:bookmarkStart w:id="11" w:name="_Toc40447267"/>
      <w:bookmarkStart w:id="12" w:name="_Toc52036326"/>
      <w:bookmarkStart w:id="13" w:name="_Toc33698132"/>
      <w:r>
        <w:rPr>
          <w:rFonts w:ascii="Times New Roman" w:hAnsi="Times New Roman" w:eastAsia="黑体"/>
          <w:b/>
          <w:color w:val="auto"/>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4" w:name="_Toc33709794"/>
      <w:bookmarkStart w:id="15" w:name="_Toc34051806"/>
      <w:bookmarkStart w:id="16" w:name="_Toc40447268"/>
      <w:bookmarkStart w:id="17" w:name="_Toc52036327"/>
      <w:bookmarkStart w:id="18" w:name="_Toc33698133"/>
      <w:r>
        <w:rPr>
          <w:rFonts w:ascii="Times New Roman" w:hAnsi="Times New Roman" w:eastAsia="黑体"/>
          <w:b/>
          <w:color w:val="auto"/>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9" w:name="_Toc52036328"/>
      <w:bookmarkStart w:id="20" w:name="_Toc33709795"/>
      <w:bookmarkStart w:id="21" w:name="_Toc33698134"/>
      <w:bookmarkStart w:id="22" w:name="_Toc40447269"/>
      <w:bookmarkStart w:id="23" w:name="_Toc34051807"/>
      <w:r>
        <w:rPr>
          <w:rFonts w:ascii="Times New Roman" w:hAnsi="Times New Roman" w:eastAsia="黑体"/>
          <w:b/>
          <w:color w:val="auto"/>
          <w:kern w:val="0"/>
          <w:sz w:val="32"/>
          <w:szCs w:val="32"/>
        </w:rPr>
        <w:t>三、承诺函</w:t>
      </w:r>
      <w:bookmarkEnd w:id="19"/>
      <w:bookmarkEnd w:id="20"/>
      <w:bookmarkEnd w:id="21"/>
      <w:bookmarkEnd w:id="22"/>
      <w:bookmarkEnd w:id="23"/>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4" w:name="_Toc33709796"/>
      <w:bookmarkStart w:id="25" w:name="_Toc52036329"/>
      <w:bookmarkStart w:id="26" w:name="_Toc40447270"/>
      <w:bookmarkStart w:id="27" w:name="_Toc34051808"/>
      <w:bookmarkStart w:id="28" w:name="_Toc33698135"/>
      <w:r>
        <w:rPr>
          <w:rFonts w:ascii="Times New Roman" w:hAnsi="Times New Roman" w:eastAsia="黑体"/>
          <w:b/>
          <w:color w:val="auto"/>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color w:val="auto"/>
          <w:kern w:val="0"/>
          <w:sz w:val="24"/>
          <w:szCs w:val="20"/>
        </w:rPr>
        <w:br w:type="page"/>
      </w:r>
      <w:bookmarkEnd w:id="29"/>
      <w:bookmarkEnd w:id="30"/>
      <w:bookmarkEnd w:id="31"/>
      <w:bookmarkEnd w:id="32"/>
      <w:bookmarkEnd w:id="33"/>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color w:val="auto"/>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5" w:name="_Toc40447272"/>
      <w:bookmarkStart w:id="46" w:name="_Toc52036331"/>
      <w:bookmarkStart w:id="47" w:name="_Toc34051810"/>
      <w:bookmarkStart w:id="48" w:name="_Toc33698137"/>
      <w:bookmarkStart w:id="49" w:name="_Toc33709798"/>
      <w:r>
        <w:rPr>
          <w:rFonts w:ascii="Times New Roman" w:hAnsi="Times New Roman" w:eastAsia="黑体"/>
          <w:b/>
          <w:color w:val="auto"/>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0"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0"/>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5"/>
      <w:bookmarkEnd w:id="6"/>
      <w:bookmarkStart w:id="51"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2766"/>
        <w:gridCol w:w="2227"/>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评分因素类别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=（基准价／投标报价）×30（保留小数点后两位，四舍五入）。</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以开标一览表为准，评分的取值按四舍五入法，保留小数点后两位。</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60</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完全符合招标文件要求没有负偏离得60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3</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年以来业绩计算，单项合同一个得0.5分，最多得</w:t>
            </w:r>
            <w:r>
              <w:rPr>
                <w:rFonts w:hint="eastAsia" w:ascii="宋体" w:hAnsi="宋体"/>
                <w:color w:val="auto"/>
                <w:szCs w:val="21"/>
              </w:rPr>
              <w:t>3</w:t>
            </w:r>
            <w:r>
              <w:rPr>
                <w:rFonts w:ascii="宋体" w:hAnsi="宋体"/>
                <w:color w:val="auto"/>
                <w:szCs w:val="21"/>
              </w:rPr>
              <w:t>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center"/>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6</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6</w:t>
            </w:r>
            <w:r>
              <w:rPr>
                <w:rFonts w:ascii="宋体" w:hAnsi="宋体"/>
                <w:color w:val="auto"/>
                <w:szCs w:val="21"/>
              </w:rPr>
              <w:t>分；每有一项缺项漏项的扣2分，扣完为止；每有一项阐述不清、描述不明、描述错误得扣1分。</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2766"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ascii="宋体" w:hAnsi="宋体"/>
                <w:color w:val="auto"/>
                <w:szCs w:val="21"/>
              </w:rPr>
              <w:t>1分；有一项细微偏差扣0.5分，直至该项分值扣完为止。</w:t>
            </w:r>
          </w:p>
        </w:tc>
        <w:tc>
          <w:tcPr>
            <w:tcW w:w="22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c>
          <w:tcPr>
            <w:tcW w:w="136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共同评分因素</w:t>
            </w: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tabs>
        <w:tab w:val="left" w:pos="5632"/>
      </w:tabs>
      <w:jc w:val="left"/>
      <w:rPr>
        <w:rFonts w:hint="eastAsia" w:eastAsia="宋体"/>
        <w:lang w:eastAsia="zh-CN"/>
      </w:rPr>
    </w:pP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2480E39"/>
    <w:rsid w:val="03950B2C"/>
    <w:rsid w:val="08130DFE"/>
    <w:rsid w:val="0AFA5A96"/>
    <w:rsid w:val="0DAC4D70"/>
    <w:rsid w:val="0E677033"/>
    <w:rsid w:val="0E7F1957"/>
    <w:rsid w:val="14D65687"/>
    <w:rsid w:val="17006A33"/>
    <w:rsid w:val="17122347"/>
    <w:rsid w:val="1B4D05AA"/>
    <w:rsid w:val="1F2324A2"/>
    <w:rsid w:val="20A2053B"/>
    <w:rsid w:val="20D54F08"/>
    <w:rsid w:val="247F6619"/>
    <w:rsid w:val="257E01C7"/>
    <w:rsid w:val="29A7364C"/>
    <w:rsid w:val="2A092A55"/>
    <w:rsid w:val="2BE165BF"/>
    <w:rsid w:val="2FB70420"/>
    <w:rsid w:val="33D16649"/>
    <w:rsid w:val="35DF103A"/>
    <w:rsid w:val="3BF758E5"/>
    <w:rsid w:val="3CDE1BE9"/>
    <w:rsid w:val="44F70547"/>
    <w:rsid w:val="453D2F11"/>
    <w:rsid w:val="4920426D"/>
    <w:rsid w:val="4A7B7FC6"/>
    <w:rsid w:val="4C2C6594"/>
    <w:rsid w:val="50166469"/>
    <w:rsid w:val="508E3344"/>
    <w:rsid w:val="50D15CF8"/>
    <w:rsid w:val="51066F16"/>
    <w:rsid w:val="518B2019"/>
    <w:rsid w:val="55F7458E"/>
    <w:rsid w:val="58BA1F78"/>
    <w:rsid w:val="5AAD383C"/>
    <w:rsid w:val="5BF67E01"/>
    <w:rsid w:val="5DEF0CB7"/>
    <w:rsid w:val="611E7ED2"/>
    <w:rsid w:val="62D11BF0"/>
    <w:rsid w:val="655B126C"/>
    <w:rsid w:val="6578067C"/>
    <w:rsid w:val="659F01D8"/>
    <w:rsid w:val="66CD7C3F"/>
    <w:rsid w:val="68B977C1"/>
    <w:rsid w:val="69E4351C"/>
    <w:rsid w:val="6A0135C5"/>
    <w:rsid w:val="6A4F2F1A"/>
    <w:rsid w:val="6B8A20A2"/>
    <w:rsid w:val="6C320399"/>
    <w:rsid w:val="6F514ADE"/>
    <w:rsid w:val="6F833AC6"/>
    <w:rsid w:val="6FB3028D"/>
    <w:rsid w:val="72B059E8"/>
    <w:rsid w:val="732C647B"/>
    <w:rsid w:val="74C2776C"/>
    <w:rsid w:val="78F61C8E"/>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8548</Words>
  <Characters>8981</Characters>
  <Lines>102</Lines>
  <Paragraphs>28</Paragraphs>
  <TotalTime>1</TotalTime>
  <ScaleCrop>false</ScaleCrop>
  <LinksUpToDate>false</LinksUpToDate>
  <CharactersWithSpaces>10611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cp:lastPrinted>2022-04-11T01:19:00Z</cp:lastPrinted>
  <dcterms:modified xsi:type="dcterms:W3CDTF">2022-04-11T01:24:59Z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