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360" w:lineRule="auto"/>
        <w:jc w:val="center"/>
        <w:rPr>
          <w:rFonts w:ascii="Times New Roman" w:hAnsi="Times New Roman"/>
          <w:sz w:val="32"/>
          <w:szCs w:val="32"/>
        </w:rPr>
      </w:pPr>
      <w:bookmarkStart w:id="0" w:name="_Toc52036320"/>
      <w:r>
        <w:rPr>
          <w:rFonts w:hint="eastAsia" w:ascii="Times New Roman" w:hAnsi="Times New Roman"/>
          <w:sz w:val="32"/>
          <w:szCs w:val="32"/>
        </w:rPr>
        <w:t>三台县人民医院</w:t>
      </w:r>
    </w:p>
    <w:p>
      <w:pPr>
        <w:pStyle w:val="3"/>
        <w:spacing w:before="0" w:after="0" w:line="360" w:lineRule="auto"/>
        <w:jc w:val="center"/>
        <w:rPr>
          <w:rFonts w:ascii="Times New Roman" w:hAnsi="Times New Roman"/>
          <w:sz w:val="32"/>
          <w:szCs w:val="32"/>
        </w:rPr>
      </w:pPr>
      <w:r>
        <w:rPr>
          <w:rFonts w:hint="eastAsia" w:ascii="Times New Roman" w:hAnsi="Times New Roman"/>
          <w:sz w:val="32"/>
          <w:szCs w:val="32"/>
        </w:rPr>
        <w:t>关于数据库运维服务与灾备系统建设的采购公告</w:t>
      </w:r>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sz w:val="24"/>
        </w:rPr>
        <w:t>经医院研究，决定采购数据库运维服务与灾备系统建设</w:t>
      </w:r>
      <w:r>
        <w:rPr>
          <w:rFonts w:ascii="Times New Roman" w:hAnsi="Times New Roman"/>
          <w:sz w:val="24"/>
        </w:rPr>
        <w:t>，兹以公告方式邀请符合要求的供应商参加比选。</w:t>
      </w:r>
    </w:p>
    <w:p>
      <w:pPr>
        <w:spacing w:line="440" w:lineRule="exact"/>
        <w:rPr>
          <w:rFonts w:ascii="Times New Roman" w:hAnsi="Times New Roman"/>
          <w:sz w:val="24"/>
          <w:u w:val="single"/>
        </w:rPr>
      </w:pPr>
      <w:r>
        <w:rPr>
          <w:rFonts w:hint="eastAsia" w:ascii="Times New Roman" w:hAnsi="Times New Roman"/>
          <w:b/>
          <w:bCs/>
          <w:sz w:val="24"/>
        </w:rPr>
        <w:t>一、</w:t>
      </w:r>
      <w:r>
        <w:rPr>
          <w:rFonts w:ascii="Times New Roman" w:hAnsi="Times New Roman"/>
          <w:b/>
          <w:bCs/>
          <w:sz w:val="24"/>
        </w:rPr>
        <w:t>项目名称：</w:t>
      </w:r>
      <w:r>
        <w:rPr>
          <w:rFonts w:hint="eastAsia" w:ascii="Times New Roman" w:hAnsi="Times New Roman"/>
          <w:sz w:val="24"/>
        </w:rPr>
        <w:t>数据库运维服务与灾备系统建设</w:t>
      </w:r>
      <w:r>
        <w:rPr>
          <w:rFonts w:ascii="Times New Roman" w:hAnsi="Times New Roman"/>
          <w:bCs/>
          <w:sz w:val="24"/>
        </w:rPr>
        <w:t>采购项目</w:t>
      </w:r>
    </w:p>
    <w:p>
      <w:pPr>
        <w:spacing w:line="440" w:lineRule="exact"/>
        <w:rPr>
          <w:rFonts w:ascii="Times New Roman" w:hAnsi="Times New Roman"/>
          <w:sz w:val="24"/>
        </w:rPr>
      </w:pPr>
      <w:r>
        <w:rPr>
          <w:rFonts w:hint="eastAsia" w:ascii="Times New Roman" w:hAnsi="Times New Roman"/>
          <w:b/>
          <w:bCs/>
          <w:sz w:val="24"/>
        </w:rPr>
        <w:t>二、</w:t>
      </w:r>
      <w:r>
        <w:rPr>
          <w:rFonts w:ascii="Times New Roman" w:hAnsi="Times New Roman"/>
          <w:b/>
          <w:bCs/>
          <w:sz w:val="24"/>
        </w:rPr>
        <w:t>比选内容</w:t>
      </w:r>
    </w:p>
    <w:tbl>
      <w:tblPr>
        <w:tblStyle w:val="22"/>
        <w:tblW w:w="49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3"/>
        <w:gridCol w:w="930"/>
        <w:gridCol w:w="2610"/>
        <w:gridCol w:w="2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29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hint="eastAsia" w:ascii="Times New Roman" w:hAnsi="Times New Roman"/>
                <w:b/>
                <w:sz w:val="24"/>
              </w:rPr>
              <w:t>设备名称</w:t>
            </w:r>
          </w:p>
        </w:tc>
        <w:tc>
          <w:tcPr>
            <w:tcW w:w="55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数量</w:t>
            </w:r>
          </w:p>
        </w:tc>
        <w:tc>
          <w:tcPr>
            <w:tcW w:w="155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hint="eastAsia" w:ascii="Times New Roman" w:hAnsi="Times New Roman"/>
                <w:b/>
                <w:sz w:val="24"/>
              </w:rPr>
              <w:t>采购限价（万元）</w:t>
            </w:r>
          </w:p>
        </w:tc>
        <w:tc>
          <w:tcPr>
            <w:tcW w:w="160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9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数据库运维服务与灾备系统建设</w:t>
            </w:r>
          </w:p>
        </w:tc>
        <w:tc>
          <w:tcPr>
            <w:tcW w:w="55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1套</w:t>
            </w:r>
          </w:p>
        </w:tc>
        <w:tc>
          <w:tcPr>
            <w:tcW w:w="1552"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color w:val="auto"/>
                <w:sz w:val="24"/>
                <w:lang w:val="en-US" w:eastAsia="zh-CN"/>
              </w:rPr>
              <w:t>7.61</w:t>
            </w:r>
          </w:p>
        </w:tc>
        <w:tc>
          <w:tcPr>
            <w:tcW w:w="160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否</w:t>
            </w:r>
          </w:p>
        </w:tc>
      </w:tr>
    </w:tbl>
    <w:p>
      <w:pPr>
        <w:autoSpaceDE w:val="0"/>
        <w:autoSpaceDN w:val="0"/>
        <w:adjustRightInd w:val="0"/>
        <w:spacing w:line="360" w:lineRule="auto"/>
        <w:ind w:left="1"/>
        <w:contextualSpacing/>
        <w:rPr>
          <w:rFonts w:ascii="Times New Roman" w:hAnsi="Times New Roman"/>
          <w:kern w:val="0"/>
          <w:sz w:val="24"/>
          <w:lang w:val="zh-CN"/>
        </w:rPr>
      </w:pPr>
      <w:r>
        <w:rPr>
          <w:rFonts w:hint="eastAsia" w:ascii="Times New Roman" w:hAnsi="Times New Roman"/>
          <w:b/>
          <w:kern w:val="0"/>
          <w:sz w:val="24"/>
          <w:lang w:val="zh-CN"/>
        </w:rPr>
        <w:t>三、</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sz w:val="24"/>
        </w:rPr>
        <w:t>请潜在比选人致电三台县人民医院</w:t>
      </w:r>
      <w:r>
        <w:rPr>
          <w:rFonts w:hint="eastAsia" w:ascii="Times New Roman" w:hAnsi="Times New Roman"/>
          <w:sz w:val="24"/>
          <w:lang w:val="en-US" w:eastAsia="zh-CN"/>
        </w:rPr>
        <w:t>采购办</w:t>
      </w:r>
      <w:r>
        <w:rPr>
          <w:rFonts w:hint="eastAsia" w:ascii="Times New Roman" w:hAnsi="Times New Roman"/>
          <w:sz w:val="24"/>
        </w:rPr>
        <w:t>报名，报名电话：</w:t>
      </w:r>
      <w:r>
        <w:rPr>
          <w:rFonts w:hint="eastAsia" w:ascii="Times New Roman" w:hAnsi="Times New Roman"/>
          <w:sz w:val="24"/>
          <w:lang w:val="en-US" w:eastAsia="zh-CN"/>
        </w:rPr>
        <w:t>0816-5222252</w:t>
      </w:r>
      <w:r>
        <w:rPr>
          <w:rFonts w:hint="eastAsia" w:ascii="Times New Roman" w:hAnsi="Times New Roman"/>
          <w:sz w:val="24"/>
        </w:rPr>
        <w:t>，联系人：</w:t>
      </w:r>
      <w:r>
        <w:rPr>
          <w:rFonts w:hint="eastAsia" w:ascii="Times New Roman" w:hAnsi="Times New Roman"/>
          <w:sz w:val="24"/>
          <w:lang w:val="en-US" w:eastAsia="zh-CN"/>
        </w:rPr>
        <w:t>邹</w:t>
      </w:r>
      <w:r>
        <w:rPr>
          <w:rFonts w:hint="eastAsia" w:ascii="Times New Roman" w:hAnsi="Times New Roman"/>
          <w:sz w:val="24"/>
        </w:rPr>
        <w:t>老师；报名时间：</w:t>
      </w:r>
      <w:r>
        <w:rPr>
          <w:rFonts w:ascii="Times New Roman" w:hAnsi="Times New Roman"/>
          <w:sz w:val="24"/>
        </w:rPr>
        <w:t>202</w:t>
      </w:r>
      <w:r>
        <w:rPr>
          <w:rFonts w:hint="eastAsia" w:ascii="Times New Roman" w:hAnsi="Times New Roman"/>
          <w:sz w:val="24"/>
        </w:rPr>
        <w:t>2</w:t>
      </w:r>
      <w:r>
        <w:rPr>
          <w:rFonts w:ascii="Times New Roman" w:hAnsi="Times New Roman"/>
          <w:sz w:val="24"/>
        </w:rPr>
        <w:t>年</w:t>
      </w:r>
      <w:r>
        <w:rPr>
          <w:rFonts w:hint="eastAsia" w:ascii="Times New Roman" w:hAnsi="Times New Roman"/>
          <w:sz w:val="24"/>
          <w:lang w:val="en-US" w:eastAsia="zh-CN"/>
        </w:rPr>
        <w:t>9</w:t>
      </w:r>
      <w:r>
        <w:rPr>
          <w:rFonts w:ascii="Times New Roman" w:hAnsi="Times New Roman"/>
          <w:sz w:val="24"/>
        </w:rPr>
        <w:t>月</w:t>
      </w:r>
      <w:r>
        <w:rPr>
          <w:rFonts w:hint="eastAsia" w:ascii="Times New Roman" w:hAnsi="Times New Roman"/>
          <w:sz w:val="24"/>
          <w:lang w:val="en-US" w:eastAsia="zh-CN"/>
        </w:rPr>
        <w:t>13</w:t>
      </w:r>
      <w:r>
        <w:rPr>
          <w:rFonts w:ascii="Times New Roman" w:hAnsi="Times New Roman"/>
          <w:sz w:val="24"/>
        </w:rPr>
        <w:t>日</w:t>
      </w:r>
      <w:r>
        <w:rPr>
          <w:rFonts w:hint="eastAsia" w:ascii="Times New Roman" w:hAnsi="Times New Roman"/>
          <w:sz w:val="24"/>
        </w:rPr>
        <w:t>至2022年</w:t>
      </w:r>
      <w:r>
        <w:rPr>
          <w:rFonts w:hint="eastAsia" w:ascii="Times New Roman" w:hAnsi="Times New Roman"/>
          <w:sz w:val="24"/>
          <w:lang w:val="en-US" w:eastAsia="zh-CN"/>
        </w:rPr>
        <w:t>9</w:t>
      </w:r>
      <w:r>
        <w:rPr>
          <w:rFonts w:hint="eastAsia" w:ascii="Times New Roman" w:hAnsi="Times New Roman"/>
          <w:sz w:val="24"/>
        </w:rPr>
        <w:t>月</w:t>
      </w:r>
      <w:r>
        <w:rPr>
          <w:rFonts w:hint="eastAsia" w:ascii="Times New Roman" w:hAnsi="Times New Roman"/>
          <w:sz w:val="24"/>
          <w:lang w:val="en-US" w:eastAsia="zh-CN"/>
        </w:rPr>
        <w:t>15</w:t>
      </w:r>
      <w:r>
        <w:rPr>
          <w:rFonts w:hint="eastAsia" w:ascii="Times New Roman" w:hAnsi="Times New Roman"/>
          <w:sz w:val="24"/>
        </w:rPr>
        <w:t>日8</w:t>
      </w:r>
      <w:r>
        <w:rPr>
          <w:rFonts w:ascii="Times New Roman" w:hAnsi="Times New Roman"/>
          <w:sz w:val="24"/>
        </w:rPr>
        <w:t>:00～12:00、1</w:t>
      </w:r>
      <w:r>
        <w:rPr>
          <w:rFonts w:hint="eastAsia" w:ascii="Times New Roman" w:hAnsi="Times New Roman"/>
          <w:sz w:val="24"/>
        </w:rPr>
        <w:t>4</w:t>
      </w:r>
      <w:r>
        <w:rPr>
          <w:rFonts w:ascii="Times New Roman" w:hAnsi="Times New Roman"/>
          <w:sz w:val="24"/>
        </w:rPr>
        <w:t>:30～18:00（北京时间，法定节假日除外）</w:t>
      </w:r>
      <w:r>
        <w:rPr>
          <w:rFonts w:hint="eastAsia" w:ascii="Times New Roman" w:hAnsi="Times New Roman"/>
          <w:sz w:val="24"/>
        </w:rPr>
        <w:t>。</w:t>
      </w:r>
    </w:p>
    <w:p>
      <w:pPr>
        <w:spacing w:line="440" w:lineRule="exact"/>
        <w:rPr>
          <w:rFonts w:ascii="Times New Roman" w:hAnsi="Times New Roman"/>
          <w:b/>
          <w:bCs/>
          <w:sz w:val="24"/>
        </w:rPr>
      </w:pPr>
      <w:r>
        <w:rPr>
          <w:rFonts w:hint="eastAsia" w:ascii="Times New Roman" w:hAnsi="Times New Roman"/>
          <w:b/>
          <w:sz w:val="24"/>
        </w:rPr>
        <w:t>四、</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rPr>
        <w:t>2</w:t>
      </w:r>
      <w:r>
        <w:rPr>
          <w:rFonts w:ascii="Times New Roman" w:hAnsi="Times New Roman"/>
          <w:sz w:val="24"/>
        </w:rPr>
        <w:t>年</w:t>
      </w:r>
      <w:r>
        <w:rPr>
          <w:rFonts w:hint="eastAsia" w:ascii="Times New Roman" w:hAnsi="Times New Roman"/>
          <w:sz w:val="24"/>
          <w:lang w:val="en-US" w:eastAsia="zh-CN"/>
        </w:rPr>
        <w:t>9</w:t>
      </w:r>
      <w:r>
        <w:rPr>
          <w:rFonts w:ascii="Times New Roman" w:hAnsi="Times New Roman"/>
          <w:sz w:val="24"/>
        </w:rPr>
        <w:t>月</w:t>
      </w:r>
      <w:r>
        <w:rPr>
          <w:rFonts w:hint="eastAsia" w:ascii="Times New Roman" w:hAnsi="Times New Roman"/>
          <w:sz w:val="24"/>
          <w:lang w:val="en-US" w:eastAsia="zh-CN"/>
        </w:rPr>
        <w:t>20</w:t>
      </w:r>
      <w:r>
        <w:rPr>
          <w:rFonts w:ascii="Times New Roman" w:hAnsi="Times New Roman"/>
          <w:sz w:val="24"/>
        </w:rPr>
        <w:t>日</w:t>
      </w:r>
      <w:r>
        <w:rPr>
          <w:rFonts w:hint="eastAsia" w:ascii="Times New Roman" w:hAnsi="Times New Roman"/>
          <w:kern w:val="0"/>
          <w:sz w:val="24"/>
        </w:rPr>
        <w:t>12</w:t>
      </w:r>
      <w:r>
        <w:rPr>
          <w:rFonts w:ascii="Times New Roman" w:hAnsi="Times New Roman"/>
          <w:kern w:val="0"/>
          <w:sz w:val="24"/>
        </w:rPr>
        <w:t>时</w:t>
      </w:r>
      <w:r>
        <w:rPr>
          <w:rFonts w:hint="eastAsia" w:ascii="Times New Roman" w:hAnsi="Times New Roman"/>
          <w:kern w:val="0"/>
          <w:sz w:val="24"/>
        </w:rPr>
        <w:t>0</w:t>
      </w:r>
      <w:r>
        <w:rPr>
          <w:rFonts w:ascii="Times New Roman" w:hAnsi="Times New Roman"/>
          <w:kern w:val="0"/>
          <w:sz w:val="24"/>
        </w:rPr>
        <w:t>0分（北京时间）。</w:t>
      </w:r>
    </w:p>
    <w:p>
      <w:pPr>
        <w:spacing w:line="440" w:lineRule="exact"/>
        <w:rPr>
          <w:rFonts w:ascii="Times New Roman" w:hAnsi="Times New Roman"/>
          <w:kern w:val="0"/>
          <w:sz w:val="24"/>
        </w:rPr>
      </w:pPr>
      <w:r>
        <w:rPr>
          <w:rFonts w:hint="eastAsia" w:ascii="Times New Roman" w:hAnsi="Times New Roman"/>
          <w:b/>
          <w:bCs/>
          <w:sz w:val="24"/>
        </w:rPr>
        <w:t>五、</w:t>
      </w:r>
      <w:r>
        <w:rPr>
          <w:rFonts w:ascii="Times New Roman" w:hAnsi="Times New Roman"/>
          <w:b/>
          <w:bCs/>
          <w:sz w:val="24"/>
        </w:rPr>
        <w:t>递交响应文件地</w:t>
      </w:r>
      <w:r>
        <w:rPr>
          <w:rFonts w:hint="eastAsia" w:ascii="Times New Roman" w:hAnsi="Times New Roman"/>
          <w:b/>
          <w:bCs/>
          <w:sz w:val="24"/>
        </w:rPr>
        <w:t>点、方式</w:t>
      </w:r>
      <w:r>
        <w:rPr>
          <w:rFonts w:ascii="Times New Roman" w:hAnsi="Times New Roman"/>
          <w:b/>
        </w:rPr>
        <w:t>：</w:t>
      </w:r>
      <w:r>
        <w:rPr>
          <w:rFonts w:ascii="Times New Roman" w:hAnsi="Times New Roman"/>
          <w:kern w:val="0"/>
          <w:sz w:val="24"/>
        </w:rPr>
        <w:t>响应文件</w:t>
      </w:r>
      <w:r>
        <w:rPr>
          <w:rFonts w:hint="eastAsia" w:ascii="Times New Roman" w:hAnsi="Times New Roman"/>
          <w:kern w:val="0"/>
          <w:sz w:val="24"/>
        </w:rPr>
        <w:t>一式两份（</w:t>
      </w:r>
      <w:r>
        <w:rPr>
          <w:rFonts w:hint="eastAsia" w:ascii="Times New Roman" w:hAnsi="Times New Roman"/>
          <w:b/>
          <w:bCs/>
          <w:kern w:val="0"/>
          <w:sz w:val="24"/>
        </w:rPr>
        <w:t>一正一副，密封</w:t>
      </w:r>
      <w:r>
        <w:rPr>
          <w:rFonts w:hint="eastAsia" w:ascii="Times New Roman" w:hAnsi="Times New Roman"/>
          <w:kern w:val="0"/>
          <w:sz w:val="24"/>
        </w:rPr>
        <w:t>）</w:t>
      </w:r>
      <w:r>
        <w:rPr>
          <w:rFonts w:ascii="Times New Roman" w:hAnsi="Times New Roman"/>
          <w:kern w:val="0"/>
          <w:sz w:val="24"/>
        </w:rPr>
        <w:t>必须在截止时间前</w:t>
      </w:r>
      <w:r>
        <w:rPr>
          <w:rFonts w:hint="eastAsia" w:ascii="Times New Roman" w:hAnsi="Times New Roman"/>
          <w:kern w:val="0"/>
          <w:sz w:val="24"/>
        </w:rPr>
        <w:t>邮寄（顺丰快递）至三台县人民医院</w:t>
      </w:r>
      <w:r>
        <w:rPr>
          <w:rFonts w:hint="eastAsia" w:ascii="Times New Roman" w:hAnsi="Times New Roman"/>
          <w:kern w:val="0"/>
          <w:sz w:val="24"/>
          <w:lang w:val="en-US" w:eastAsia="zh-CN"/>
        </w:rPr>
        <w:t>采购办</w:t>
      </w:r>
      <w:r>
        <w:rPr>
          <w:rFonts w:hint="eastAsia" w:ascii="Times New Roman" w:hAnsi="Times New Roman"/>
          <w:kern w:val="0"/>
          <w:sz w:val="24"/>
        </w:rPr>
        <w:t>（</w:t>
      </w:r>
      <w:r>
        <w:rPr>
          <w:rFonts w:hint="eastAsia" w:ascii="Times New Roman" w:hAnsi="Times New Roman"/>
          <w:kern w:val="0"/>
          <w:sz w:val="24"/>
          <w:lang w:val="en-US" w:eastAsia="zh-CN"/>
        </w:rPr>
        <w:t>邹</w:t>
      </w:r>
      <w:r>
        <w:rPr>
          <w:rFonts w:hint="eastAsia" w:ascii="Times New Roman" w:hAnsi="Times New Roman"/>
          <w:kern w:val="0"/>
          <w:sz w:val="24"/>
        </w:rPr>
        <w:t>老师收，收件电话：</w:t>
      </w:r>
      <w:r>
        <w:rPr>
          <w:rFonts w:hint="eastAsia" w:ascii="Times New Roman" w:hAnsi="Times New Roman"/>
          <w:kern w:val="0"/>
          <w:sz w:val="24"/>
          <w:lang w:val="en-US" w:eastAsia="zh-CN"/>
        </w:rPr>
        <w:t>0816-5222252</w:t>
      </w:r>
      <w:r>
        <w:rPr>
          <w:rFonts w:hint="eastAsia" w:ascii="Times New Roman" w:hAnsi="Times New Roman"/>
          <w:kern w:val="0"/>
          <w:sz w:val="24"/>
        </w:rPr>
        <w:t>）</w:t>
      </w:r>
      <w:r>
        <w:rPr>
          <w:rFonts w:ascii="Times New Roman" w:hAnsi="Times New Roman"/>
          <w:kern w:val="0"/>
          <w:sz w:val="24"/>
        </w:rPr>
        <w:t>。逾期送达和密封</w:t>
      </w:r>
      <w:r>
        <w:rPr>
          <w:rFonts w:hint="eastAsia" w:ascii="Times New Roman" w:hAnsi="Times New Roman"/>
          <w:kern w:val="0"/>
          <w:sz w:val="24"/>
          <w:lang w:eastAsia="zh-CN"/>
        </w:rPr>
        <w:t>、</w:t>
      </w:r>
      <w:r>
        <w:rPr>
          <w:rFonts w:ascii="Times New Roman" w:hAnsi="Times New Roman"/>
          <w:kern w:val="0"/>
          <w:sz w:val="24"/>
        </w:rPr>
        <w:t>标注不符合比选文件规定的响应文件恕不接受。本次比选</w:t>
      </w:r>
      <w:r>
        <w:rPr>
          <w:rFonts w:hint="eastAsia" w:ascii="Times New Roman" w:hAnsi="Times New Roman"/>
          <w:kern w:val="0"/>
          <w:sz w:val="24"/>
        </w:rPr>
        <w:t>只</w:t>
      </w:r>
      <w:r>
        <w:rPr>
          <w:rFonts w:ascii="Times New Roman" w:hAnsi="Times New Roman"/>
          <w:kern w:val="0"/>
          <w:sz w:val="24"/>
        </w:rPr>
        <w:t>接受邮寄的</w:t>
      </w:r>
      <w:r>
        <w:rPr>
          <w:rFonts w:ascii="Times New Roman" w:hAnsi="Times New Roman"/>
          <w:sz w:val="24"/>
        </w:rPr>
        <w:t>响应文件</w:t>
      </w:r>
      <w:r>
        <w:rPr>
          <w:rFonts w:hint="eastAsia" w:ascii="Times New Roman" w:hAnsi="Times New Roman"/>
          <w:kern w:val="0"/>
          <w:sz w:val="24"/>
        </w:rPr>
        <w:t>，邮件封面注</w:t>
      </w:r>
      <w:r>
        <w:rPr>
          <w:rFonts w:hint="eastAsia" w:ascii="Times New Roman" w:hAnsi="Times New Roman"/>
          <w:kern w:val="0"/>
          <w:sz w:val="24"/>
          <w:lang w:val="en-US" w:eastAsia="zh-CN"/>
        </w:rPr>
        <w:t>明项目</w:t>
      </w:r>
      <w:r>
        <w:rPr>
          <w:rFonts w:hint="eastAsia" w:ascii="Times New Roman" w:hAnsi="Times New Roman"/>
          <w:kern w:val="0"/>
          <w:sz w:val="24"/>
        </w:rPr>
        <w:t>名称。</w:t>
      </w:r>
    </w:p>
    <w:p>
      <w:pPr>
        <w:spacing w:line="440" w:lineRule="exact"/>
        <w:rPr>
          <w:rFonts w:ascii="Times New Roman" w:hAnsi="Times New Roman"/>
          <w:b/>
          <w:kern w:val="0"/>
          <w:sz w:val="24"/>
        </w:rPr>
      </w:pPr>
      <w:r>
        <w:rPr>
          <w:rFonts w:hint="eastAsia" w:ascii="Times New Roman" w:hAnsi="Times New Roman"/>
          <w:b/>
          <w:kern w:val="0"/>
          <w:sz w:val="24"/>
        </w:rPr>
        <w:t>六、</w:t>
      </w:r>
      <w:r>
        <w:rPr>
          <w:rFonts w:ascii="Times New Roman" w:hAnsi="Times New Roman"/>
          <w:b/>
          <w:bCs/>
          <w:sz w:val="24"/>
        </w:rPr>
        <w:t>比选时间：</w:t>
      </w:r>
      <w:r>
        <w:rPr>
          <w:rFonts w:ascii="Times New Roman" w:hAnsi="Times New Roman"/>
          <w:bCs/>
          <w:sz w:val="24"/>
        </w:rPr>
        <w:t>202</w:t>
      </w:r>
      <w:r>
        <w:rPr>
          <w:rFonts w:hint="eastAsia" w:ascii="Times New Roman" w:hAnsi="Times New Roman"/>
          <w:bCs/>
          <w:sz w:val="24"/>
        </w:rPr>
        <w:t>2</w:t>
      </w:r>
      <w:r>
        <w:rPr>
          <w:rFonts w:ascii="Times New Roman" w:hAnsi="Times New Roman"/>
          <w:bCs/>
          <w:kern w:val="0"/>
          <w:sz w:val="24"/>
        </w:rPr>
        <w:t>年</w:t>
      </w:r>
      <w:r>
        <w:rPr>
          <w:rFonts w:hint="eastAsia" w:ascii="Times New Roman" w:hAnsi="Times New Roman"/>
          <w:bCs/>
          <w:kern w:val="0"/>
          <w:sz w:val="24"/>
          <w:lang w:val="en-US" w:eastAsia="zh-CN"/>
        </w:rPr>
        <w:t>9</w:t>
      </w:r>
      <w:r>
        <w:rPr>
          <w:rFonts w:ascii="Times New Roman" w:hAnsi="Times New Roman"/>
          <w:bCs/>
          <w:kern w:val="0"/>
          <w:sz w:val="24"/>
        </w:rPr>
        <w:t>月</w:t>
      </w:r>
      <w:r>
        <w:rPr>
          <w:rFonts w:hint="eastAsia" w:ascii="Times New Roman" w:hAnsi="Times New Roman"/>
          <w:bCs/>
          <w:kern w:val="0"/>
          <w:sz w:val="24"/>
          <w:lang w:val="en-US" w:eastAsia="zh-CN"/>
        </w:rPr>
        <w:t>20</w:t>
      </w:r>
      <w:r>
        <w:rPr>
          <w:rFonts w:ascii="Times New Roman" w:hAnsi="Times New Roman"/>
          <w:bCs/>
          <w:kern w:val="0"/>
          <w:sz w:val="24"/>
        </w:rPr>
        <w:t>日1</w:t>
      </w:r>
      <w:r>
        <w:rPr>
          <w:rFonts w:hint="eastAsia" w:ascii="Times New Roman" w:hAnsi="Times New Roman"/>
          <w:bCs/>
          <w:kern w:val="0"/>
          <w:sz w:val="24"/>
          <w:lang w:val="en-US" w:eastAsia="zh-CN"/>
        </w:rPr>
        <w:t>5</w:t>
      </w:r>
      <w:r>
        <w:rPr>
          <w:rFonts w:ascii="Times New Roman" w:hAnsi="Times New Roman"/>
          <w:bCs/>
          <w:kern w:val="0"/>
          <w:sz w:val="24"/>
        </w:rPr>
        <w:t>时</w:t>
      </w:r>
      <w:r>
        <w:rPr>
          <w:rFonts w:hint="eastAsia" w:ascii="Times New Roman" w:hAnsi="Times New Roman"/>
          <w:bCs/>
          <w:kern w:val="0"/>
          <w:sz w:val="24"/>
          <w:lang w:val="en-US" w:eastAsia="zh-CN"/>
        </w:rPr>
        <w:t>0</w:t>
      </w:r>
      <w:r>
        <w:rPr>
          <w:rFonts w:ascii="Times New Roman" w:hAnsi="Times New Roman"/>
          <w:bCs/>
          <w:kern w:val="0"/>
          <w:sz w:val="24"/>
        </w:rPr>
        <w:t>0分（北京时间）。</w:t>
      </w:r>
    </w:p>
    <w:p>
      <w:pPr>
        <w:spacing w:line="440" w:lineRule="exact"/>
        <w:rPr>
          <w:rFonts w:ascii="Times New Roman" w:hAnsi="Times New Roman"/>
          <w:b/>
          <w:kern w:val="0"/>
          <w:sz w:val="24"/>
        </w:rPr>
      </w:pPr>
      <w:r>
        <w:rPr>
          <w:rFonts w:hint="eastAsia" w:ascii="Times New Roman" w:hAnsi="Times New Roman"/>
          <w:b/>
          <w:kern w:val="0"/>
          <w:sz w:val="24"/>
        </w:rPr>
        <w:t>七、</w:t>
      </w:r>
      <w:r>
        <w:rPr>
          <w:rFonts w:ascii="Times New Roman" w:hAnsi="Times New Roman"/>
          <w:b/>
          <w:bCs/>
          <w:sz w:val="24"/>
        </w:rPr>
        <w:t>比选地点：</w:t>
      </w:r>
      <w:r>
        <w:rPr>
          <w:rFonts w:hint="eastAsia" w:ascii="Times New Roman" w:hAnsi="Times New Roman"/>
          <w:bCs/>
          <w:sz w:val="24"/>
        </w:rPr>
        <w:t>三台县人民医院行政楼五楼会议室</w:t>
      </w:r>
      <w:r>
        <w:rPr>
          <w:rFonts w:ascii="Times New Roman" w:hAnsi="Times New Roman"/>
          <w:bCs/>
          <w:kern w:val="0"/>
          <w:sz w:val="24"/>
        </w:rPr>
        <w:t>。</w:t>
      </w:r>
    </w:p>
    <w:p>
      <w:pPr>
        <w:spacing w:line="440" w:lineRule="exact"/>
        <w:rPr>
          <w:rFonts w:ascii="Times New Roman" w:hAnsi="Times New Roman"/>
          <w:b/>
          <w:bCs/>
          <w:sz w:val="24"/>
        </w:rPr>
      </w:pPr>
      <w:r>
        <w:rPr>
          <w:rFonts w:hint="eastAsia" w:ascii="Times New Roman" w:hAnsi="Times New Roman"/>
          <w:b/>
          <w:kern w:val="0"/>
          <w:sz w:val="24"/>
        </w:rPr>
        <w:t>八、</w:t>
      </w:r>
      <w:r>
        <w:rPr>
          <w:rFonts w:ascii="Times New Roman" w:hAnsi="Times New Roman"/>
          <w:b/>
          <w:bCs/>
          <w:sz w:val="24"/>
        </w:rPr>
        <w:t>比选</w:t>
      </w:r>
      <w:r>
        <w:rPr>
          <w:rFonts w:hint="eastAsia" w:ascii="Times New Roman" w:hAnsi="Times New Roman"/>
          <w:b/>
          <w:bCs/>
          <w:sz w:val="24"/>
        </w:rPr>
        <w:t>结果</w:t>
      </w:r>
      <w:r>
        <w:rPr>
          <w:rFonts w:ascii="Times New Roman" w:hAnsi="Times New Roman"/>
          <w:b/>
          <w:bCs/>
          <w:sz w:val="24"/>
        </w:rPr>
        <w:t>公告将在</w:t>
      </w:r>
      <w:r>
        <w:rPr>
          <w:rFonts w:hint="eastAsia" w:ascii="Times New Roman" w:hAnsi="Times New Roman"/>
          <w:b/>
          <w:bCs/>
          <w:sz w:val="24"/>
        </w:rPr>
        <w:t>三台县人民医院官网</w:t>
      </w:r>
      <w:r>
        <w:rPr>
          <w:rFonts w:ascii="Times New Roman" w:hAnsi="Times New Roman"/>
          <w:b/>
          <w:bCs/>
          <w:sz w:val="24"/>
        </w:rPr>
        <w:t>以公告形式发布。</w:t>
      </w:r>
    </w:p>
    <w:p>
      <w:pPr>
        <w:spacing w:line="440" w:lineRule="exact"/>
        <w:rPr>
          <w:rFonts w:ascii="Times New Roman" w:hAnsi="Times New Roman"/>
          <w:b/>
          <w:kern w:val="0"/>
          <w:sz w:val="24"/>
        </w:rPr>
      </w:pPr>
      <w:r>
        <w:rPr>
          <w:rFonts w:hint="eastAsia" w:ascii="Times New Roman" w:hAnsi="Times New Roman"/>
          <w:b/>
          <w:bCs/>
          <w:sz w:val="24"/>
        </w:rPr>
        <w:t>九、比选文件详见附件。</w:t>
      </w:r>
    </w:p>
    <w:p>
      <w:pPr>
        <w:spacing w:line="440" w:lineRule="exact"/>
        <w:jc w:val="right"/>
        <w:rPr>
          <w:rFonts w:ascii="Times New Roman" w:hAnsi="Times New Roman"/>
          <w:bCs/>
          <w:kern w:val="0"/>
          <w:sz w:val="24"/>
        </w:rPr>
      </w:pPr>
      <w:r>
        <w:rPr>
          <w:rFonts w:hint="eastAsia" w:ascii="Times New Roman" w:hAnsi="Times New Roman"/>
          <w:bCs/>
          <w:kern w:val="0"/>
          <w:sz w:val="24"/>
        </w:rPr>
        <w:t>三台县人民医院采购办</w:t>
      </w:r>
    </w:p>
    <w:p>
      <w:pPr>
        <w:spacing w:line="440" w:lineRule="exact"/>
        <w:jc w:val="right"/>
        <w:rPr>
          <w:rFonts w:ascii="Times New Roman" w:hAnsi="Times New Roman"/>
          <w:bCs/>
          <w:kern w:val="0"/>
          <w:sz w:val="24"/>
        </w:rPr>
      </w:pPr>
      <w:r>
        <w:rPr>
          <w:rFonts w:ascii="Times New Roman" w:hAnsi="Times New Roman"/>
          <w:bCs/>
          <w:kern w:val="0"/>
          <w:sz w:val="24"/>
        </w:rPr>
        <w:t>202</w:t>
      </w:r>
      <w:r>
        <w:rPr>
          <w:rFonts w:hint="eastAsia" w:ascii="Times New Roman" w:hAnsi="Times New Roman"/>
          <w:bCs/>
          <w:kern w:val="0"/>
          <w:sz w:val="24"/>
        </w:rPr>
        <w:t>2</w:t>
      </w:r>
      <w:r>
        <w:rPr>
          <w:rFonts w:ascii="Times New Roman" w:hAnsi="Times New Roman"/>
          <w:bCs/>
          <w:kern w:val="0"/>
          <w:sz w:val="24"/>
        </w:rPr>
        <w:t>年</w:t>
      </w:r>
      <w:r>
        <w:rPr>
          <w:rFonts w:hint="eastAsia" w:ascii="Times New Roman" w:hAnsi="Times New Roman"/>
          <w:bCs/>
          <w:kern w:val="0"/>
          <w:sz w:val="24"/>
          <w:lang w:val="en-US" w:eastAsia="zh-CN"/>
        </w:rPr>
        <w:t>9</w:t>
      </w:r>
      <w:r>
        <w:rPr>
          <w:rFonts w:ascii="Times New Roman" w:hAnsi="Times New Roman"/>
          <w:bCs/>
          <w:kern w:val="0"/>
          <w:sz w:val="24"/>
        </w:rPr>
        <w:t>月</w:t>
      </w:r>
      <w:r>
        <w:rPr>
          <w:rFonts w:hint="eastAsia" w:ascii="Times New Roman" w:hAnsi="Times New Roman"/>
          <w:bCs/>
          <w:kern w:val="0"/>
          <w:sz w:val="24"/>
          <w:lang w:val="en-US" w:eastAsia="zh-CN"/>
        </w:rPr>
        <w:t>9</w:t>
      </w:r>
      <w:r>
        <w:rPr>
          <w:rFonts w:ascii="Times New Roman" w:hAnsi="Times New Roman"/>
          <w:bCs/>
          <w:kern w:val="0"/>
          <w:sz w:val="24"/>
        </w:rPr>
        <w:t>日</w:t>
      </w:r>
    </w:p>
    <w:p>
      <w:pPr>
        <w:rPr>
          <w:rFonts w:ascii="Times New Roman" w:hAnsi="Times New Roman"/>
          <w:sz w:val="36"/>
          <w:szCs w:val="36"/>
        </w:rPr>
      </w:pPr>
      <w:r>
        <w:rPr>
          <w:rFonts w:hint="eastAsia" w:ascii="Times New Roman" w:hAnsi="Times New Roman"/>
          <w:sz w:val="36"/>
          <w:szCs w:val="36"/>
        </w:rPr>
        <w:br w:type="page"/>
      </w:r>
    </w:p>
    <w:p>
      <w:pPr>
        <w:pStyle w:val="3"/>
        <w:spacing w:before="0" w:after="0" w:line="360" w:lineRule="auto"/>
        <w:jc w:val="left"/>
        <w:rPr>
          <w:rFonts w:ascii="Times New Roman" w:hAnsi="Times New Roman"/>
          <w:sz w:val="36"/>
          <w:szCs w:val="36"/>
        </w:rPr>
      </w:pPr>
      <w:r>
        <w:rPr>
          <w:rFonts w:hint="eastAsia" w:ascii="Times New Roman" w:hAnsi="Times New Roman"/>
          <w:sz w:val="36"/>
          <w:szCs w:val="36"/>
        </w:rPr>
        <w:t>附件</w:t>
      </w:r>
    </w:p>
    <w:p>
      <w:pPr>
        <w:pStyle w:val="3"/>
        <w:spacing w:before="0" w:after="0" w:line="360" w:lineRule="auto"/>
        <w:jc w:val="center"/>
        <w:rPr>
          <w:rFonts w:ascii="Times New Roman" w:hAnsi="Times New Roman"/>
          <w:sz w:val="32"/>
          <w:szCs w:val="32"/>
        </w:rPr>
      </w:pPr>
      <w:r>
        <w:rPr>
          <w:rFonts w:hint="eastAsia" w:ascii="Times New Roman" w:hAnsi="Times New Roman"/>
          <w:sz w:val="32"/>
          <w:szCs w:val="32"/>
        </w:rPr>
        <w:t>三台县人民医院</w:t>
      </w:r>
    </w:p>
    <w:p>
      <w:pPr>
        <w:pStyle w:val="3"/>
        <w:spacing w:before="0" w:after="0" w:line="360" w:lineRule="auto"/>
        <w:jc w:val="center"/>
        <w:rPr>
          <w:rFonts w:ascii="Times New Roman" w:hAnsi="Times New Roman"/>
          <w:sz w:val="32"/>
          <w:szCs w:val="32"/>
        </w:rPr>
      </w:pPr>
      <w:r>
        <w:rPr>
          <w:rFonts w:hint="eastAsia" w:ascii="Times New Roman" w:hAnsi="Times New Roman"/>
          <w:sz w:val="32"/>
          <w:szCs w:val="32"/>
        </w:rPr>
        <w:t>关于数据库运维服务与灾备系统建设采购的比选文件</w:t>
      </w:r>
    </w:p>
    <w:p>
      <w:pPr>
        <w:pStyle w:val="3"/>
        <w:spacing w:before="0" w:after="0" w:line="360" w:lineRule="auto"/>
        <w:jc w:val="center"/>
        <w:rPr>
          <w:rFonts w:ascii="Times New Roman" w:hAnsi="Times New Roman"/>
          <w:b w:val="0"/>
          <w:sz w:val="30"/>
          <w:szCs w:val="30"/>
        </w:rPr>
      </w:pPr>
      <w:r>
        <w:rPr>
          <w:rFonts w:ascii="Times New Roman" w:hAnsi="Times New Roman"/>
          <w:sz w:val="30"/>
          <w:szCs w:val="30"/>
        </w:rPr>
        <w:t>第一章  比选邀请函</w:t>
      </w:r>
      <w:bookmarkEnd w:id="0"/>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sz w:val="24"/>
        </w:rPr>
        <w:t>经医院研究，决定采购数据库运维服务与灾备系统建设</w:t>
      </w:r>
      <w:r>
        <w:rPr>
          <w:rFonts w:ascii="Times New Roman" w:hAnsi="Times New Roman"/>
          <w:sz w:val="24"/>
        </w:rPr>
        <w:t>，兹以公告方式邀请符合要求的供应商参加比选。</w:t>
      </w:r>
    </w:p>
    <w:p>
      <w:pPr>
        <w:spacing w:line="440" w:lineRule="exact"/>
        <w:rPr>
          <w:rFonts w:ascii="Times New Roman" w:hAnsi="Times New Roman"/>
          <w:sz w:val="24"/>
          <w:u w:val="single"/>
        </w:rPr>
      </w:pPr>
      <w:r>
        <w:rPr>
          <w:rFonts w:hint="eastAsia" w:ascii="Times New Roman" w:hAnsi="Times New Roman"/>
          <w:b/>
          <w:bCs/>
          <w:sz w:val="24"/>
        </w:rPr>
        <w:t>一、</w:t>
      </w:r>
      <w:r>
        <w:rPr>
          <w:rFonts w:ascii="Times New Roman" w:hAnsi="Times New Roman"/>
          <w:b/>
          <w:bCs/>
          <w:sz w:val="24"/>
        </w:rPr>
        <w:t>项目名称：</w:t>
      </w:r>
      <w:r>
        <w:rPr>
          <w:rFonts w:hint="eastAsia" w:ascii="Times New Roman" w:hAnsi="Times New Roman"/>
          <w:sz w:val="24"/>
        </w:rPr>
        <w:t>数据库运维服务与灾备系统建设</w:t>
      </w:r>
      <w:r>
        <w:rPr>
          <w:rFonts w:ascii="Times New Roman" w:hAnsi="Times New Roman"/>
          <w:bCs/>
          <w:sz w:val="24"/>
        </w:rPr>
        <w:t>采购项目</w:t>
      </w:r>
    </w:p>
    <w:p>
      <w:pPr>
        <w:spacing w:line="440" w:lineRule="exact"/>
        <w:rPr>
          <w:rFonts w:ascii="Times New Roman" w:hAnsi="Times New Roman"/>
          <w:sz w:val="24"/>
        </w:rPr>
      </w:pPr>
      <w:r>
        <w:rPr>
          <w:rFonts w:hint="eastAsia" w:ascii="Times New Roman" w:hAnsi="Times New Roman"/>
          <w:b/>
          <w:bCs/>
          <w:sz w:val="24"/>
        </w:rPr>
        <w:t>二、</w:t>
      </w:r>
      <w:r>
        <w:rPr>
          <w:rFonts w:ascii="Times New Roman" w:hAnsi="Times New Roman"/>
          <w:b/>
          <w:bCs/>
          <w:sz w:val="24"/>
        </w:rPr>
        <w:t>比选内容</w:t>
      </w:r>
    </w:p>
    <w:tbl>
      <w:tblPr>
        <w:tblStyle w:val="22"/>
        <w:tblW w:w="49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9"/>
        <w:gridCol w:w="1590"/>
        <w:gridCol w:w="1995"/>
        <w:gridCol w:w="2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56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hint="eastAsia" w:ascii="Times New Roman" w:hAnsi="Times New Roman"/>
                <w:b/>
                <w:sz w:val="24"/>
              </w:rPr>
              <w:t>设备名称</w:t>
            </w:r>
          </w:p>
        </w:tc>
        <w:tc>
          <w:tcPr>
            <w:tcW w:w="159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数量</w:t>
            </w:r>
          </w:p>
        </w:tc>
        <w:tc>
          <w:tcPr>
            <w:tcW w:w="199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hint="eastAsia" w:ascii="Times New Roman" w:hAnsi="Times New Roman"/>
                <w:b/>
                <w:sz w:val="24"/>
              </w:rPr>
              <w:t>采购限价（万元）</w:t>
            </w:r>
          </w:p>
        </w:tc>
        <w:tc>
          <w:tcPr>
            <w:tcW w:w="231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6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数据库运维服务与灾备系统建设</w:t>
            </w:r>
          </w:p>
        </w:tc>
        <w:tc>
          <w:tcPr>
            <w:tcW w:w="159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1套</w:t>
            </w:r>
          </w:p>
        </w:tc>
        <w:tc>
          <w:tcPr>
            <w:tcW w:w="199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color w:val="auto"/>
                <w:sz w:val="24"/>
                <w:lang w:val="en-US" w:eastAsia="zh-CN"/>
              </w:rPr>
              <w:t>7.61</w:t>
            </w:r>
          </w:p>
        </w:tc>
        <w:tc>
          <w:tcPr>
            <w:tcW w:w="231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否</w:t>
            </w:r>
          </w:p>
        </w:tc>
      </w:tr>
    </w:tbl>
    <w:p>
      <w:pPr>
        <w:spacing w:line="440" w:lineRule="exact"/>
        <w:rPr>
          <w:rFonts w:ascii="Times New Roman" w:hAnsi="Times New Roman"/>
          <w:b/>
          <w:bCs/>
          <w:sz w:val="24"/>
        </w:rPr>
      </w:pPr>
      <w:r>
        <w:rPr>
          <w:rFonts w:hint="eastAsia" w:ascii="Times New Roman" w:hAnsi="Times New Roman"/>
          <w:b/>
          <w:bCs/>
          <w:sz w:val="24"/>
        </w:rPr>
        <w:t>三、</w:t>
      </w:r>
      <w:r>
        <w:rPr>
          <w:rFonts w:ascii="Times New Roman" w:hAnsi="Times New Roman"/>
          <w:b/>
          <w:bCs/>
          <w:sz w:val="24"/>
        </w:rPr>
        <w:t>合格比选申请人资格要求</w:t>
      </w:r>
    </w:p>
    <w:p>
      <w:pPr>
        <w:autoSpaceDE w:val="0"/>
        <w:autoSpaceDN w:val="0"/>
        <w:adjustRightInd w:val="0"/>
        <w:spacing w:line="360" w:lineRule="auto"/>
        <w:contextualSpacing/>
        <w:rPr>
          <w:rFonts w:ascii="Times New Roman" w:hAnsi="Times New Roman"/>
          <w:kern w:val="0"/>
          <w:sz w:val="24"/>
          <w:lang w:val="zh-CN"/>
        </w:rPr>
      </w:pPr>
      <w:r>
        <w:rPr>
          <w:rFonts w:ascii="Times New Roman" w:hAnsi="Times New Roman"/>
          <w:kern w:val="0"/>
          <w:sz w:val="24"/>
          <w:lang w:val="zh-CN"/>
        </w:rPr>
        <w:t>1、具有独立承担民事责任的能力；</w:t>
      </w:r>
    </w:p>
    <w:p>
      <w:pPr>
        <w:autoSpaceDE w:val="0"/>
        <w:autoSpaceDN w:val="0"/>
        <w:adjustRightInd w:val="0"/>
        <w:spacing w:line="360" w:lineRule="auto"/>
        <w:contextualSpacing/>
        <w:rPr>
          <w:rFonts w:ascii="Times New Roman" w:hAnsi="Times New Roman"/>
          <w:kern w:val="0"/>
          <w:sz w:val="24"/>
          <w:lang w:val="zh-CN"/>
        </w:rPr>
      </w:pPr>
      <w:r>
        <w:rPr>
          <w:rFonts w:ascii="Times New Roman" w:hAnsi="Times New Roman"/>
          <w:kern w:val="0"/>
          <w:sz w:val="24"/>
          <w:lang w:val="zh-CN"/>
        </w:rPr>
        <w:t>2、具有良好的商业信誉和健全的财务会计制度；</w:t>
      </w:r>
    </w:p>
    <w:p>
      <w:pPr>
        <w:autoSpaceDE w:val="0"/>
        <w:autoSpaceDN w:val="0"/>
        <w:adjustRightInd w:val="0"/>
        <w:spacing w:line="360" w:lineRule="auto"/>
        <w:contextualSpacing/>
        <w:rPr>
          <w:rFonts w:ascii="Times New Roman" w:hAnsi="Times New Roman"/>
          <w:kern w:val="0"/>
          <w:sz w:val="24"/>
          <w:lang w:val="zh-CN"/>
        </w:rPr>
      </w:pPr>
      <w:r>
        <w:rPr>
          <w:rFonts w:ascii="Times New Roman" w:hAnsi="Times New Roman"/>
          <w:kern w:val="0"/>
          <w:sz w:val="24"/>
          <w:lang w:val="zh-CN"/>
        </w:rPr>
        <w:t>3、具备履行合同所必需的设备和专业技术能力；</w:t>
      </w:r>
    </w:p>
    <w:p>
      <w:pPr>
        <w:autoSpaceDE w:val="0"/>
        <w:autoSpaceDN w:val="0"/>
        <w:adjustRightInd w:val="0"/>
        <w:spacing w:line="360" w:lineRule="auto"/>
        <w:contextualSpacing/>
        <w:rPr>
          <w:rFonts w:ascii="Times New Roman" w:hAnsi="Times New Roman"/>
          <w:kern w:val="0"/>
          <w:sz w:val="24"/>
          <w:lang w:val="zh-CN"/>
        </w:rPr>
      </w:pPr>
      <w:r>
        <w:rPr>
          <w:rFonts w:ascii="Times New Roman" w:hAnsi="Times New Roman"/>
          <w:kern w:val="0"/>
          <w:sz w:val="24"/>
          <w:lang w:val="zh-CN"/>
        </w:rPr>
        <w:t>4、具有依法缴纳税收和社会保障资金的良好记录；</w:t>
      </w:r>
    </w:p>
    <w:p>
      <w:pPr>
        <w:autoSpaceDE w:val="0"/>
        <w:autoSpaceDN w:val="0"/>
        <w:adjustRightInd w:val="0"/>
        <w:spacing w:line="360" w:lineRule="auto"/>
        <w:contextualSpacing/>
        <w:rPr>
          <w:rFonts w:ascii="Times New Roman" w:hAnsi="Times New Roman"/>
          <w:kern w:val="0"/>
          <w:sz w:val="24"/>
          <w:lang w:val="zh-CN"/>
        </w:rPr>
      </w:pPr>
      <w:r>
        <w:rPr>
          <w:rFonts w:ascii="Times New Roman" w:hAnsi="Times New Roman"/>
          <w:kern w:val="0"/>
          <w:sz w:val="24"/>
          <w:lang w:val="zh-CN"/>
        </w:rPr>
        <w:t>5、参加采购活动前三年内，在经营活动中没有重大违法记录；</w:t>
      </w:r>
    </w:p>
    <w:p>
      <w:pPr>
        <w:autoSpaceDE w:val="0"/>
        <w:autoSpaceDN w:val="0"/>
        <w:adjustRightInd w:val="0"/>
        <w:spacing w:line="360" w:lineRule="auto"/>
        <w:ind w:left="360" w:hanging="360" w:hangingChars="150"/>
        <w:contextualSpacing/>
        <w:rPr>
          <w:rFonts w:ascii="Times New Roman" w:hAnsi="Times New Roman"/>
          <w:kern w:val="0"/>
          <w:sz w:val="24"/>
          <w:lang w:val="zh-CN"/>
        </w:rPr>
      </w:pPr>
      <w:r>
        <w:rPr>
          <w:rFonts w:ascii="Times New Roman" w:hAnsi="Times New Roman"/>
          <w:kern w:val="0"/>
          <w:sz w:val="24"/>
          <w:lang w:val="zh-CN"/>
        </w:rPr>
        <w:t>6、与其他比选申请人供应商之间，单位负责人不为同一人而且不存在直接控股、管理关系；</w:t>
      </w:r>
    </w:p>
    <w:p>
      <w:pPr>
        <w:autoSpaceDE w:val="0"/>
        <w:autoSpaceDN w:val="0"/>
        <w:adjustRightInd w:val="0"/>
        <w:spacing w:line="360" w:lineRule="auto"/>
        <w:ind w:left="360" w:hanging="360" w:hangingChars="150"/>
        <w:contextualSpacing/>
        <w:rPr>
          <w:rFonts w:ascii="Times New Roman" w:hAnsi="Times New Roman"/>
          <w:kern w:val="0"/>
          <w:sz w:val="24"/>
          <w:lang w:val="zh-CN"/>
        </w:rPr>
      </w:pPr>
      <w:r>
        <w:rPr>
          <w:rFonts w:ascii="Times New Roman" w:hAnsi="Times New Roman"/>
          <w:kern w:val="0"/>
          <w:sz w:val="24"/>
          <w:lang w:val="zh-CN"/>
        </w:rPr>
        <w:t>7、法定代表人授权委托书；</w:t>
      </w:r>
    </w:p>
    <w:p>
      <w:pPr>
        <w:autoSpaceDE w:val="0"/>
        <w:autoSpaceDN w:val="0"/>
        <w:adjustRightInd w:val="0"/>
        <w:spacing w:line="360" w:lineRule="auto"/>
        <w:ind w:left="361" w:hanging="361" w:hangingChars="150"/>
        <w:contextualSpacing/>
        <w:rPr>
          <w:rFonts w:ascii="Times New Roman" w:hAnsi="Times New Roman"/>
          <w:b/>
          <w:kern w:val="0"/>
          <w:sz w:val="24"/>
          <w:lang w:val="zh-CN"/>
        </w:rPr>
      </w:pPr>
      <w:r>
        <w:rPr>
          <w:rFonts w:hint="eastAsia" w:ascii="Times New Roman" w:hAnsi="Times New Roman"/>
          <w:b/>
          <w:kern w:val="0"/>
          <w:sz w:val="24"/>
          <w:lang w:val="zh-CN"/>
        </w:rPr>
        <w:t>四、</w:t>
      </w:r>
      <w:r>
        <w:rPr>
          <w:rFonts w:ascii="Times New Roman" w:hAnsi="Times New Roman"/>
          <w:b/>
          <w:kern w:val="0"/>
          <w:sz w:val="24"/>
          <w:lang w:val="zh-CN"/>
        </w:rPr>
        <w:t>比选申请人资格证明文件</w:t>
      </w:r>
    </w:p>
    <w:p>
      <w:pPr>
        <w:autoSpaceDE w:val="0"/>
        <w:autoSpaceDN w:val="0"/>
        <w:adjustRightInd w:val="0"/>
        <w:spacing w:line="360" w:lineRule="auto"/>
        <w:ind w:left="360" w:hanging="360" w:hangingChars="150"/>
        <w:contextualSpacing/>
        <w:rPr>
          <w:rFonts w:ascii="Times New Roman" w:hAnsi="Times New Roman"/>
          <w:kern w:val="0"/>
          <w:sz w:val="24"/>
          <w:lang w:val="zh-CN"/>
        </w:rPr>
      </w:pPr>
      <w:r>
        <w:rPr>
          <w:rFonts w:ascii="Times New Roman" w:hAnsi="Times New Roman"/>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kern w:val="0"/>
          <w:sz w:val="24"/>
          <w:lang w:val="zh-CN"/>
        </w:rPr>
      </w:pPr>
      <w:r>
        <w:rPr>
          <w:rFonts w:ascii="Times New Roman" w:hAnsi="Times New Roman"/>
          <w:kern w:val="0"/>
          <w:sz w:val="24"/>
          <w:lang w:val="zh-CN"/>
        </w:rPr>
        <w:t>2、提供具有良好的商业信誉承诺书及20</w:t>
      </w:r>
      <w:r>
        <w:rPr>
          <w:rFonts w:hint="eastAsia" w:ascii="Times New Roman" w:hAnsi="Times New Roman"/>
          <w:kern w:val="0"/>
          <w:sz w:val="24"/>
          <w:lang w:val="en-US" w:eastAsia="zh-CN"/>
        </w:rPr>
        <w:t>20</w:t>
      </w:r>
      <w:r>
        <w:rPr>
          <w:rFonts w:ascii="Times New Roman" w:hAnsi="Times New Roman"/>
          <w:kern w:val="0"/>
          <w:sz w:val="24"/>
          <w:lang w:val="zh-CN"/>
        </w:rPr>
        <w:t>年度</w:t>
      </w:r>
      <w:r>
        <w:rPr>
          <w:rFonts w:hint="eastAsia" w:ascii="Times New Roman" w:hAnsi="Times New Roman"/>
          <w:kern w:val="0"/>
          <w:sz w:val="24"/>
          <w:lang w:val="zh-CN"/>
        </w:rPr>
        <w:t>或202</w:t>
      </w:r>
      <w:r>
        <w:rPr>
          <w:rFonts w:hint="eastAsia" w:ascii="Times New Roman" w:hAnsi="Times New Roman"/>
          <w:kern w:val="0"/>
          <w:sz w:val="24"/>
          <w:lang w:val="en-US" w:eastAsia="zh-CN"/>
        </w:rPr>
        <w:t>1</w:t>
      </w:r>
      <w:r>
        <w:rPr>
          <w:rFonts w:hint="eastAsia" w:ascii="Times New Roman" w:hAnsi="Times New Roman"/>
          <w:kern w:val="0"/>
          <w:sz w:val="24"/>
          <w:lang w:val="zh-CN"/>
        </w:rPr>
        <w:t>年</w:t>
      </w:r>
      <w:r>
        <w:rPr>
          <w:rFonts w:ascii="Times New Roman" w:hAnsi="Times New Roman"/>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kern w:val="0"/>
          <w:sz w:val="24"/>
          <w:lang w:val="zh-CN"/>
        </w:rPr>
      </w:pPr>
      <w:r>
        <w:rPr>
          <w:rFonts w:ascii="Times New Roman" w:hAnsi="Times New Roman"/>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kern w:val="0"/>
          <w:sz w:val="24"/>
          <w:lang w:val="zh-CN"/>
        </w:rPr>
      </w:pPr>
      <w:r>
        <w:rPr>
          <w:rFonts w:ascii="Times New Roman" w:hAnsi="Times New Roman"/>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kern w:val="0"/>
          <w:sz w:val="24"/>
          <w:lang w:val="zh-CN"/>
        </w:rPr>
      </w:pPr>
      <w:r>
        <w:rPr>
          <w:rFonts w:ascii="Times New Roman" w:hAnsi="Times New Roman"/>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kern w:val="0"/>
          <w:sz w:val="24"/>
          <w:lang w:val="zh-CN"/>
        </w:rPr>
      </w:pPr>
      <w:r>
        <w:rPr>
          <w:rFonts w:ascii="Times New Roman" w:hAnsi="Times New Roman"/>
          <w:kern w:val="0"/>
          <w:sz w:val="24"/>
          <w:lang w:val="zh-CN"/>
        </w:rPr>
        <w:t>注：可提供承诺函</w:t>
      </w:r>
      <w:r>
        <w:rPr>
          <w:rFonts w:hint="eastAsia" w:ascii="Times New Roman" w:hAnsi="Times New Roman"/>
          <w:kern w:val="0"/>
          <w:sz w:val="24"/>
          <w:lang w:val="zh-CN"/>
        </w:rPr>
        <w:t>。</w:t>
      </w:r>
    </w:p>
    <w:p>
      <w:pPr>
        <w:autoSpaceDE w:val="0"/>
        <w:autoSpaceDN w:val="0"/>
        <w:adjustRightInd w:val="0"/>
        <w:spacing w:line="360" w:lineRule="auto"/>
        <w:ind w:left="360" w:hanging="360" w:hangingChars="150"/>
        <w:contextualSpacing/>
        <w:rPr>
          <w:rFonts w:ascii="Times New Roman" w:hAnsi="Times New Roman"/>
          <w:kern w:val="0"/>
          <w:sz w:val="24"/>
          <w:lang w:val="zh-CN"/>
        </w:rPr>
      </w:pPr>
      <w:r>
        <w:rPr>
          <w:rFonts w:ascii="Times New Roman" w:hAnsi="Times New Roman"/>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kern w:val="0"/>
          <w:sz w:val="24"/>
          <w:lang w:val="zh-CN"/>
        </w:rPr>
      </w:pPr>
      <w:r>
        <w:rPr>
          <w:rFonts w:ascii="Times New Roman" w:hAnsi="Times New Roman"/>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kern w:val="0"/>
          <w:sz w:val="24"/>
          <w:lang w:val="zh-CN"/>
        </w:rPr>
      </w:pPr>
      <w:r>
        <w:rPr>
          <w:rFonts w:ascii="Times New Roman" w:hAnsi="Times New Roman"/>
          <w:kern w:val="0"/>
          <w:sz w:val="24"/>
          <w:lang w:val="zh-CN"/>
        </w:rPr>
        <w:t>7、法定代表人/单位负责人授权委托书（法定代表人/单位负责人或自然人直接参与投标的除外）。</w:t>
      </w:r>
    </w:p>
    <w:p>
      <w:pPr>
        <w:autoSpaceDE w:val="0"/>
        <w:autoSpaceDN w:val="0"/>
        <w:adjustRightInd w:val="0"/>
        <w:spacing w:line="360" w:lineRule="auto"/>
        <w:ind w:left="1"/>
        <w:contextualSpacing/>
        <w:rPr>
          <w:rFonts w:ascii="Times New Roman" w:hAnsi="Times New Roman"/>
          <w:kern w:val="0"/>
          <w:sz w:val="24"/>
          <w:lang w:val="zh-CN"/>
        </w:rPr>
      </w:pPr>
      <w:r>
        <w:rPr>
          <w:rFonts w:hint="eastAsia" w:ascii="Times New Roman" w:hAnsi="Times New Roman"/>
          <w:b/>
          <w:kern w:val="0"/>
          <w:sz w:val="24"/>
          <w:lang w:val="zh-CN"/>
        </w:rPr>
        <w:t>五、</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sz w:val="24"/>
        </w:rPr>
        <w:t>请潜在比选人致电三台县人民医院信息管理科报名，报名电话：</w:t>
      </w:r>
      <w:r>
        <w:rPr>
          <w:rFonts w:hint="eastAsia" w:ascii="Times New Roman" w:hAnsi="Times New Roman"/>
          <w:sz w:val="24"/>
          <w:lang w:val="en-US" w:eastAsia="zh-CN"/>
        </w:rPr>
        <w:t>0816-5222252</w:t>
      </w:r>
      <w:r>
        <w:rPr>
          <w:rFonts w:hint="eastAsia" w:ascii="Times New Roman" w:hAnsi="Times New Roman"/>
          <w:sz w:val="24"/>
        </w:rPr>
        <w:t>，联系人：</w:t>
      </w:r>
      <w:r>
        <w:rPr>
          <w:rFonts w:hint="eastAsia" w:ascii="Times New Roman" w:hAnsi="Times New Roman"/>
          <w:sz w:val="24"/>
          <w:lang w:val="en-US" w:eastAsia="zh-CN"/>
        </w:rPr>
        <w:t>邹</w:t>
      </w:r>
      <w:r>
        <w:rPr>
          <w:rFonts w:hint="eastAsia" w:ascii="Times New Roman" w:hAnsi="Times New Roman"/>
          <w:sz w:val="24"/>
        </w:rPr>
        <w:t>老师；报名时间：</w:t>
      </w:r>
      <w:r>
        <w:rPr>
          <w:rFonts w:ascii="Times New Roman" w:hAnsi="Times New Roman"/>
          <w:sz w:val="24"/>
        </w:rPr>
        <w:t>202</w:t>
      </w:r>
      <w:r>
        <w:rPr>
          <w:rFonts w:hint="eastAsia" w:ascii="Times New Roman" w:hAnsi="Times New Roman"/>
          <w:sz w:val="24"/>
        </w:rPr>
        <w:t>2</w:t>
      </w:r>
      <w:r>
        <w:rPr>
          <w:rFonts w:ascii="Times New Roman" w:hAnsi="Times New Roman"/>
          <w:sz w:val="24"/>
        </w:rPr>
        <w:t>年</w:t>
      </w:r>
      <w:r>
        <w:rPr>
          <w:rFonts w:hint="eastAsia" w:ascii="Times New Roman" w:hAnsi="Times New Roman"/>
          <w:sz w:val="24"/>
          <w:lang w:val="en-US" w:eastAsia="zh-CN"/>
        </w:rPr>
        <w:t>9</w:t>
      </w:r>
      <w:r>
        <w:rPr>
          <w:rFonts w:ascii="Times New Roman" w:hAnsi="Times New Roman"/>
          <w:sz w:val="24"/>
        </w:rPr>
        <w:t>月</w:t>
      </w:r>
      <w:r>
        <w:rPr>
          <w:rFonts w:hint="eastAsia" w:ascii="Times New Roman" w:hAnsi="Times New Roman"/>
          <w:sz w:val="24"/>
          <w:lang w:val="en-US" w:eastAsia="zh-CN"/>
        </w:rPr>
        <w:t>9</w:t>
      </w:r>
      <w:r>
        <w:rPr>
          <w:rFonts w:ascii="Times New Roman" w:hAnsi="Times New Roman"/>
          <w:sz w:val="24"/>
        </w:rPr>
        <w:t>日</w:t>
      </w:r>
      <w:r>
        <w:rPr>
          <w:rFonts w:hint="eastAsia" w:ascii="Times New Roman" w:hAnsi="Times New Roman"/>
          <w:sz w:val="24"/>
        </w:rPr>
        <w:t>至2022年</w:t>
      </w:r>
      <w:r>
        <w:rPr>
          <w:rFonts w:hint="eastAsia" w:ascii="Times New Roman" w:hAnsi="Times New Roman"/>
          <w:sz w:val="24"/>
          <w:lang w:val="en-US" w:eastAsia="zh-CN"/>
        </w:rPr>
        <w:t>9</w:t>
      </w:r>
      <w:r>
        <w:rPr>
          <w:rFonts w:hint="eastAsia" w:ascii="Times New Roman" w:hAnsi="Times New Roman"/>
          <w:sz w:val="24"/>
        </w:rPr>
        <w:t>月</w:t>
      </w:r>
      <w:r>
        <w:rPr>
          <w:rFonts w:hint="eastAsia" w:ascii="Times New Roman" w:hAnsi="Times New Roman"/>
          <w:sz w:val="24"/>
          <w:lang w:val="en-US" w:eastAsia="zh-CN"/>
        </w:rPr>
        <w:t>14</w:t>
      </w:r>
      <w:r>
        <w:rPr>
          <w:rFonts w:hint="eastAsia" w:ascii="Times New Roman" w:hAnsi="Times New Roman"/>
          <w:sz w:val="24"/>
        </w:rPr>
        <w:t>日8</w:t>
      </w:r>
      <w:r>
        <w:rPr>
          <w:rFonts w:ascii="Times New Roman" w:hAnsi="Times New Roman"/>
          <w:sz w:val="24"/>
        </w:rPr>
        <w:t>:00～12:00、1</w:t>
      </w:r>
      <w:r>
        <w:rPr>
          <w:rFonts w:hint="eastAsia" w:ascii="Times New Roman" w:hAnsi="Times New Roman"/>
          <w:sz w:val="24"/>
        </w:rPr>
        <w:t>4</w:t>
      </w:r>
      <w:r>
        <w:rPr>
          <w:rFonts w:ascii="Times New Roman" w:hAnsi="Times New Roman"/>
          <w:sz w:val="24"/>
        </w:rPr>
        <w:t>:30～18:00（北京时间，法定节假日除外）</w:t>
      </w:r>
      <w:r>
        <w:rPr>
          <w:rFonts w:hint="eastAsia" w:ascii="Times New Roman" w:hAnsi="Times New Roman"/>
          <w:sz w:val="24"/>
        </w:rPr>
        <w:t>。</w:t>
      </w:r>
    </w:p>
    <w:p>
      <w:pPr>
        <w:spacing w:line="440" w:lineRule="exact"/>
        <w:rPr>
          <w:rFonts w:ascii="Times New Roman" w:hAnsi="Times New Roman"/>
          <w:b/>
          <w:bCs/>
          <w:sz w:val="24"/>
        </w:rPr>
      </w:pPr>
      <w:r>
        <w:rPr>
          <w:rFonts w:hint="eastAsia" w:ascii="Times New Roman" w:hAnsi="Times New Roman"/>
          <w:b/>
          <w:sz w:val="24"/>
        </w:rPr>
        <w:t>六、</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rPr>
        <w:t>2</w:t>
      </w:r>
      <w:r>
        <w:rPr>
          <w:rFonts w:ascii="Times New Roman" w:hAnsi="Times New Roman"/>
          <w:sz w:val="24"/>
        </w:rPr>
        <w:t>年</w:t>
      </w:r>
      <w:r>
        <w:rPr>
          <w:rFonts w:hint="eastAsia" w:ascii="Times New Roman" w:hAnsi="Times New Roman"/>
          <w:sz w:val="24"/>
          <w:lang w:val="en-US" w:eastAsia="zh-CN"/>
        </w:rPr>
        <w:t>9</w:t>
      </w:r>
      <w:r>
        <w:rPr>
          <w:rFonts w:ascii="Times New Roman" w:hAnsi="Times New Roman"/>
          <w:sz w:val="24"/>
        </w:rPr>
        <w:t>月</w:t>
      </w:r>
      <w:r>
        <w:rPr>
          <w:rFonts w:hint="eastAsia" w:ascii="Times New Roman" w:hAnsi="Times New Roman"/>
          <w:sz w:val="24"/>
          <w:lang w:val="en-US" w:eastAsia="zh-CN"/>
        </w:rPr>
        <w:t>19</w:t>
      </w:r>
      <w:r>
        <w:rPr>
          <w:rFonts w:ascii="Times New Roman" w:hAnsi="Times New Roman"/>
          <w:sz w:val="24"/>
        </w:rPr>
        <w:t>日</w:t>
      </w:r>
      <w:r>
        <w:rPr>
          <w:rFonts w:hint="eastAsia" w:ascii="Times New Roman" w:hAnsi="Times New Roman"/>
          <w:kern w:val="0"/>
          <w:sz w:val="24"/>
        </w:rPr>
        <w:t>12</w:t>
      </w:r>
      <w:r>
        <w:rPr>
          <w:rFonts w:ascii="Times New Roman" w:hAnsi="Times New Roman"/>
          <w:kern w:val="0"/>
          <w:sz w:val="24"/>
        </w:rPr>
        <w:t>时</w:t>
      </w:r>
      <w:r>
        <w:rPr>
          <w:rFonts w:hint="eastAsia" w:ascii="Times New Roman" w:hAnsi="Times New Roman"/>
          <w:kern w:val="0"/>
          <w:sz w:val="24"/>
        </w:rPr>
        <w:t>0</w:t>
      </w:r>
      <w:r>
        <w:rPr>
          <w:rFonts w:ascii="Times New Roman" w:hAnsi="Times New Roman"/>
          <w:kern w:val="0"/>
          <w:sz w:val="24"/>
        </w:rPr>
        <w:t>0分（北京时间）。</w:t>
      </w:r>
    </w:p>
    <w:p>
      <w:pPr>
        <w:spacing w:line="440" w:lineRule="exact"/>
        <w:rPr>
          <w:rFonts w:ascii="Times New Roman" w:hAnsi="Times New Roman"/>
          <w:kern w:val="0"/>
          <w:sz w:val="24"/>
        </w:rPr>
      </w:pPr>
      <w:r>
        <w:rPr>
          <w:rFonts w:hint="eastAsia" w:ascii="Times New Roman" w:hAnsi="Times New Roman"/>
          <w:b/>
          <w:bCs/>
          <w:sz w:val="24"/>
        </w:rPr>
        <w:t>七、</w:t>
      </w:r>
      <w:r>
        <w:rPr>
          <w:rFonts w:ascii="Times New Roman" w:hAnsi="Times New Roman"/>
          <w:b/>
          <w:bCs/>
          <w:sz w:val="24"/>
        </w:rPr>
        <w:t>递交响应文件地</w:t>
      </w:r>
      <w:r>
        <w:rPr>
          <w:rFonts w:hint="eastAsia" w:ascii="Times New Roman" w:hAnsi="Times New Roman"/>
          <w:b/>
          <w:bCs/>
          <w:sz w:val="24"/>
        </w:rPr>
        <w:t>点、方式</w:t>
      </w:r>
      <w:r>
        <w:rPr>
          <w:rFonts w:ascii="Times New Roman" w:hAnsi="Times New Roman"/>
          <w:b/>
        </w:rPr>
        <w:t>：</w:t>
      </w:r>
      <w:r>
        <w:rPr>
          <w:rFonts w:ascii="Times New Roman" w:hAnsi="Times New Roman"/>
          <w:kern w:val="0"/>
          <w:sz w:val="24"/>
        </w:rPr>
        <w:t>响应文件</w:t>
      </w:r>
      <w:r>
        <w:rPr>
          <w:rFonts w:hint="eastAsia" w:ascii="Times New Roman" w:hAnsi="Times New Roman"/>
          <w:kern w:val="0"/>
          <w:sz w:val="24"/>
        </w:rPr>
        <w:t>一式两份（</w:t>
      </w:r>
      <w:r>
        <w:rPr>
          <w:rFonts w:hint="eastAsia" w:ascii="Times New Roman" w:hAnsi="Times New Roman"/>
          <w:b/>
          <w:bCs/>
          <w:kern w:val="0"/>
          <w:sz w:val="24"/>
        </w:rPr>
        <w:t>一正一副，密封</w:t>
      </w:r>
      <w:r>
        <w:rPr>
          <w:rFonts w:hint="eastAsia" w:ascii="Times New Roman" w:hAnsi="Times New Roman"/>
          <w:kern w:val="0"/>
          <w:sz w:val="24"/>
        </w:rPr>
        <w:t>）</w:t>
      </w:r>
      <w:r>
        <w:rPr>
          <w:rFonts w:ascii="Times New Roman" w:hAnsi="Times New Roman"/>
          <w:kern w:val="0"/>
          <w:sz w:val="24"/>
        </w:rPr>
        <w:t>必须在截止时间前</w:t>
      </w:r>
      <w:r>
        <w:rPr>
          <w:rFonts w:hint="eastAsia" w:ascii="Times New Roman" w:hAnsi="Times New Roman"/>
          <w:kern w:val="0"/>
          <w:sz w:val="24"/>
        </w:rPr>
        <w:t>邮寄（顺丰快递）至三台县人民医院</w:t>
      </w:r>
      <w:r>
        <w:rPr>
          <w:rFonts w:hint="eastAsia" w:ascii="Times New Roman" w:hAnsi="Times New Roman"/>
          <w:kern w:val="0"/>
          <w:sz w:val="24"/>
          <w:lang w:val="en-US" w:eastAsia="zh-CN"/>
        </w:rPr>
        <w:t>采购办</w:t>
      </w:r>
      <w:r>
        <w:rPr>
          <w:rFonts w:hint="eastAsia" w:ascii="Times New Roman" w:hAnsi="Times New Roman"/>
          <w:kern w:val="0"/>
          <w:sz w:val="24"/>
        </w:rPr>
        <w:t>（</w:t>
      </w:r>
      <w:r>
        <w:rPr>
          <w:rFonts w:hint="eastAsia" w:ascii="Times New Roman" w:hAnsi="Times New Roman"/>
          <w:kern w:val="0"/>
          <w:sz w:val="24"/>
          <w:lang w:val="en-US" w:eastAsia="zh-CN"/>
        </w:rPr>
        <w:t>邹</w:t>
      </w:r>
      <w:r>
        <w:rPr>
          <w:rFonts w:hint="eastAsia" w:ascii="Times New Roman" w:hAnsi="Times New Roman"/>
          <w:kern w:val="0"/>
          <w:sz w:val="24"/>
        </w:rPr>
        <w:t>老师收，收件电话：</w:t>
      </w:r>
      <w:r>
        <w:rPr>
          <w:rFonts w:hint="eastAsia" w:ascii="Times New Roman" w:hAnsi="Times New Roman"/>
          <w:kern w:val="0"/>
          <w:sz w:val="24"/>
          <w:lang w:val="en-US" w:eastAsia="zh-CN"/>
        </w:rPr>
        <w:t>0816-5222252</w:t>
      </w:r>
      <w:r>
        <w:rPr>
          <w:rFonts w:hint="eastAsia" w:ascii="Times New Roman" w:hAnsi="Times New Roman"/>
          <w:kern w:val="0"/>
          <w:sz w:val="24"/>
        </w:rPr>
        <w:t>）</w:t>
      </w:r>
      <w:r>
        <w:rPr>
          <w:rFonts w:ascii="Times New Roman" w:hAnsi="Times New Roman"/>
          <w:kern w:val="0"/>
          <w:sz w:val="24"/>
        </w:rPr>
        <w:t>。逾期送达和密封</w:t>
      </w:r>
      <w:r>
        <w:rPr>
          <w:rFonts w:hint="eastAsia" w:ascii="Times New Roman" w:hAnsi="Times New Roman"/>
          <w:kern w:val="0"/>
          <w:sz w:val="24"/>
          <w:lang w:eastAsia="zh-CN"/>
        </w:rPr>
        <w:t>、</w:t>
      </w:r>
      <w:r>
        <w:rPr>
          <w:rFonts w:ascii="Times New Roman" w:hAnsi="Times New Roman"/>
          <w:kern w:val="0"/>
          <w:sz w:val="24"/>
        </w:rPr>
        <w:t>标注不符合比选文件规定的响应文件恕不接受。本次比选</w:t>
      </w:r>
      <w:r>
        <w:rPr>
          <w:rFonts w:hint="eastAsia" w:ascii="Times New Roman" w:hAnsi="Times New Roman"/>
          <w:kern w:val="0"/>
          <w:sz w:val="24"/>
        </w:rPr>
        <w:t>只</w:t>
      </w:r>
      <w:r>
        <w:rPr>
          <w:rFonts w:ascii="Times New Roman" w:hAnsi="Times New Roman"/>
          <w:kern w:val="0"/>
          <w:sz w:val="24"/>
        </w:rPr>
        <w:t>接受邮寄的</w:t>
      </w:r>
      <w:r>
        <w:rPr>
          <w:rFonts w:ascii="Times New Roman" w:hAnsi="Times New Roman"/>
          <w:sz w:val="24"/>
        </w:rPr>
        <w:t>响应文件</w:t>
      </w:r>
      <w:r>
        <w:rPr>
          <w:rFonts w:hint="eastAsia" w:ascii="Times New Roman" w:hAnsi="Times New Roman"/>
          <w:kern w:val="0"/>
          <w:sz w:val="24"/>
        </w:rPr>
        <w:t>，邮件封面注</w:t>
      </w:r>
      <w:r>
        <w:rPr>
          <w:rFonts w:hint="eastAsia" w:ascii="Times New Roman" w:hAnsi="Times New Roman"/>
          <w:kern w:val="0"/>
          <w:sz w:val="24"/>
          <w:lang w:val="en-US" w:eastAsia="zh-CN"/>
        </w:rPr>
        <w:t>明项目</w:t>
      </w:r>
      <w:r>
        <w:rPr>
          <w:rFonts w:hint="eastAsia" w:ascii="Times New Roman" w:hAnsi="Times New Roman"/>
          <w:kern w:val="0"/>
          <w:sz w:val="24"/>
        </w:rPr>
        <w:t>名称。</w:t>
      </w:r>
    </w:p>
    <w:p>
      <w:pPr>
        <w:spacing w:line="440" w:lineRule="exact"/>
        <w:rPr>
          <w:rFonts w:ascii="Times New Roman" w:hAnsi="Times New Roman"/>
          <w:b/>
          <w:kern w:val="0"/>
          <w:sz w:val="24"/>
        </w:rPr>
      </w:pPr>
      <w:r>
        <w:rPr>
          <w:rFonts w:hint="eastAsia" w:ascii="Times New Roman" w:hAnsi="Times New Roman"/>
          <w:b/>
          <w:kern w:val="0"/>
          <w:sz w:val="24"/>
        </w:rPr>
        <w:t>八、</w:t>
      </w:r>
      <w:r>
        <w:rPr>
          <w:rFonts w:ascii="Times New Roman" w:hAnsi="Times New Roman"/>
          <w:b/>
          <w:bCs/>
          <w:sz w:val="24"/>
        </w:rPr>
        <w:t>比选时间：</w:t>
      </w:r>
      <w:r>
        <w:rPr>
          <w:rFonts w:ascii="Times New Roman" w:hAnsi="Times New Roman"/>
          <w:bCs/>
          <w:sz w:val="24"/>
        </w:rPr>
        <w:t>202</w:t>
      </w:r>
      <w:r>
        <w:rPr>
          <w:rFonts w:hint="eastAsia" w:ascii="Times New Roman" w:hAnsi="Times New Roman"/>
          <w:bCs/>
          <w:sz w:val="24"/>
        </w:rPr>
        <w:t>2</w:t>
      </w:r>
      <w:r>
        <w:rPr>
          <w:rFonts w:ascii="Times New Roman" w:hAnsi="Times New Roman"/>
          <w:bCs/>
          <w:kern w:val="0"/>
          <w:sz w:val="24"/>
        </w:rPr>
        <w:t>年</w:t>
      </w:r>
      <w:r>
        <w:rPr>
          <w:rFonts w:hint="eastAsia" w:ascii="Times New Roman" w:hAnsi="Times New Roman"/>
          <w:bCs/>
          <w:kern w:val="0"/>
          <w:sz w:val="24"/>
          <w:lang w:val="en-US" w:eastAsia="zh-CN"/>
        </w:rPr>
        <w:t>9</w:t>
      </w:r>
      <w:r>
        <w:rPr>
          <w:rFonts w:ascii="Times New Roman" w:hAnsi="Times New Roman"/>
          <w:bCs/>
          <w:kern w:val="0"/>
          <w:sz w:val="24"/>
        </w:rPr>
        <w:t>月</w:t>
      </w:r>
      <w:r>
        <w:rPr>
          <w:rFonts w:hint="eastAsia" w:ascii="Times New Roman" w:hAnsi="Times New Roman"/>
          <w:bCs/>
          <w:kern w:val="0"/>
          <w:sz w:val="24"/>
          <w:lang w:val="en-US" w:eastAsia="zh-CN"/>
        </w:rPr>
        <w:t>21</w:t>
      </w:r>
      <w:r>
        <w:rPr>
          <w:rFonts w:ascii="Times New Roman" w:hAnsi="Times New Roman"/>
          <w:bCs/>
          <w:kern w:val="0"/>
          <w:sz w:val="24"/>
        </w:rPr>
        <w:t>日1</w:t>
      </w:r>
      <w:r>
        <w:rPr>
          <w:rFonts w:hint="eastAsia" w:ascii="Times New Roman" w:hAnsi="Times New Roman"/>
          <w:bCs/>
          <w:kern w:val="0"/>
          <w:sz w:val="24"/>
          <w:lang w:val="en-US" w:eastAsia="zh-CN"/>
        </w:rPr>
        <w:t>5</w:t>
      </w:r>
      <w:r>
        <w:rPr>
          <w:rFonts w:ascii="Times New Roman" w:hAnsi="Times New Roman"/>
          <w:bCs/>
          <w:kern w:val="0"/>
          <w:sz w:val="24"/>
        </w:rPr>
        <w:t>时</w:t>
      </w:r>
      <w:r>
        <w:rPr>
          <w:rFonts w:hint="eastAsia" w:ascii="Times New Roman" w:hAnsi="Times New Roman"/>
          <w:bCs/>
          <w:kern w:val="0"/>
          <w:sz w:val="24"/>
          <w:lang w:val="en-US" w:eastAsia="zh-CN"/>
        </w:rPr>
        <w:t>0</w:t>
      </w:r>
      <w:r>
        <w:rPr>
          <w:rFonts w:ascii="Times New Roman" w:hAnsi="Times New Roman"/>
          <w:bCs/>
          <w:kern w:val="0"/>
          <w:sz w:val="24"/>
        </w:rPr>
        <w:t>0分（北京时间）。</w:t>
      </w:r>
    </w:p>
    <w:p>
      <w:pPr>
        <w:spacing w:line="440" w:lineRule="exact"/>
        <w:rPr>
          <w:rFonts w:ascii="Times New Roman" w:hAnsi="Times New Roman"/>
          <w:b/>
          <w:kern w:val="0"/>
          <w:sz w:val="24"/>
        </w:rPr>
      </w:pPr>
      <w:r>
        <w:rPr>
          <w:rFonts w:hint="eastAsia" w:ascii="Times New Roman" w:hAnsi="Times New Roman"/>
          <w:b/>
          <w:kern w:val="0"/>
          <w:sz w:val="24"/>
        </w:rPr>
        <w:t>九、</w:t>
      </w:r>
      <w:r>
        <w:rPr>
          <w:rFonts w:ascii="Times New Roman" w:hAnsi="Times New Roman"/>
          <w:b/>
          <w:bCs/>
          <w:sz w:val="24"/>
        </w:rPr>
        <w:t>比选地点：</w:t>
      </w:r>
      <w:r>
        <w:rPr>
          <w:rFonts w:hint="eastAsia" w:ascii="Times New Roman" w:hAnsi="Times New Roman"/>
          <w:bCs/>
          <w:sz w:val="24"/>
        </w:rPr>
        <w:t>三台县人民医院行政楼五楼会议室</w:t>
      </w:r>
      <w:r>
        <w:rPr>
          <w:rFonts w:ascii="Times New Roman" w:hAnsi="Times New Roman"/>
          <w:bCs/>
          <w:kern w:val="0"/>
          <w:sz w:val="24"/>
        </w:rPr>
        <w:t>。</w:t>
      </w:r>
    </w:p>
    <w:p>
      <w:pPr>
        <w:spacing w:line="440" w:lineRule="exact"/>
        <w:rPr>
          <w:rFonts w:ascii="Times New Roman" w:hAnsi="Times New Roman"/>
          <w:b/>
          <w:bCs/>
          <w:sz w:val="24"/>
        </w:rPr>
      </w:pPr>
      <w:r>
        <w:rPr>
          <w:rFonts w:hint="eastAsia" w:ascii="Times New Roman" w:hAnsi="Times New Roman"/>
          <w:b/>
          <w:kern w:val="0"/>
          <w:sz w:val="24"/>
        </w:rPr>
        <w:t>十、</w:t>
      </w:r>
      <w:r>
        <w:rPr>
          <w:rFonts w:ascii="Times New Roman" w:hAnsi="Times New Roman"/>
          <w:b/>
          <w:bCs/>
          <w:sz w:val="24"/>
        </w:rPr>
        <w:t>比选</w:t>
      </w:r>
      <w:r>
        <w:rPr>
          <w:rFonts w:hint="eastAsia" w:ascii="Times New Roman" w:hAnsi="Times New Roman"/>
          <w:b/>
          <w:bCs/>
          <w:sz w:val="24"/>
        </w:rPr>
        <w:t>结果</w:t>
      </w:r>
      <w:r>
        <w:rPr>
          <w:rFonts w:ascii="Times New Roman" w:hAnsi="Times New Roman"/>
          <w:b/>
          <w:bCs/>
          <w:sz w:val="24"/>
        </w:rPr>
        <w:t>公告将在</w:t>
      </w:r>
      <w:r>
        <w:rPr>
          <w:rFonts w:hint="eastAsia" w:ascii="Times New Roman" w:hAnsi="Times New Roman"/>
          <w:b/>
          <w:bCs/>
          <w:sz w:val="24"/>
        </w:rPr>
        <w:t>三台县人民医院官网</w:t>
      </w:r>
      <w:r>
        <w:rPr>
          <w:rFonts w:ascii="Times New Roman" w:hAnsi="Times New Roman"/>
          <w:b/>
          <w:bCs/>
          <w:sz w:val="24"/>
        </w:rPr>
        <w:t>以公告形式发布。</w:t>
      </w:r>
    </w:p>
    <w:p>
      <w:pPr>
        <w:spacing w:line="440" w:lineRule="exact"/>
        <w:rPr>
          <w:rFonts w:ascii="Times New Roman" w:hAnsi="Times New Roman"/>
          <w:b/>
          <w:kern w:val="0"/>
          <w:sz w:val="24"/>
        </w:rPr>
      </w:pPr>
      <w:r>
        <w:rPr>
          <w:rFonts w:hint="eastAsia" w:ascii="Times New Roman" w:hAnsi="Times New Roman"/>
          <w:b/>
          <w:kern w:val="0"/>
          <w:sz w:val="24"/>
        </w:rPr>
        <w:t>十一、</w:t>
      </w:r>
      <w:r>
        <w:rPr>
          <w:rFonts w:ascii="Times New Roman" w:hAnsi="Times New Roman"/>
          <w:b/>
          <w:bCs/>
          <w:sz w:val="24"/>
        </w:rPr>
        <w:t>联系方式</w:t>
      </w:r>
    </w:p>
    <w:p>
      <w:pPr>
        <w:tabs>
          <w:tab w:val="left" w:pos="2310"/>
        </w:tabs>
        <w:spacing w:line="360" w:lineRule="auto"/>
        <w:ind w:left="560" w:right="420" w:rightChars="200"/>
        <w:rPr>
          <w:rFonts w:ascii="Times New Roman" w:hAnsi="Times New Roman"/>
          <w:sz w:val="24"/>
        </w:rPr>
      </w:pPr>
      <w:r>
        <w:rPr>
          <w:rFonts w:hint="eastAsia" w:ascii="Times New Roman" w:hAnsi="Times New Roman"/>
          <w:sz w:val="24"/>
        </w:rPr>
        <w:t>采购</w:t>
      </w:r>
      <w:r>
        <w:rPr>
          <w:rFonts w:ascii="Times New Roman" w:hAnsi="Times New Roman"/>
          <w:sz w:val="24"/>
        </w:rPr>
        <w:t>人：</w:t>
      </w:r>
      <w:r>
        <w:rPr>
          <w:rFonts w:hint="eastAsia" w:ascii="Times New Roman" w:hAnsi="Times New Roman"/>
          <w:sz w:val="24"/>
        </w:rPr>
        <w:t>三台县人民医院</w:t>
      </w:r>
    </w:p>
    <w:p>
      <w:pPr>
        <w:pStyle w:val="44"/>
        <w:ind w:left="560" w:firstLine="0" w:firstLineChars="0"/>
        <w:contextualSpacing/>
        <w:rPr>
          <w:sz w:val="24"/>
        </w:rPr>
      </w:pPr>
      <w:r>
        <w:rPr>
          <w:sz w:val="24"/>
        </w:rPr>
        <w:t>地  址：</w:t>
      </w:r>
      <w:r>
        <w:rPr>
          <w:rFonts w:hint="eastAsia"/>
          <w:sz w:val="24"/>
        </w:rPr>
        <w:t>三台县潼川镇解放下街139号</w:t>
      </w:r>
    </w:p>
    <w:p>
      <w:pPr>
        <w:pStyle w:val="44"/>
        <w:ind w:left="560" w:firstLine="0" w:firstLineChars="0"/>
        <w:contextualSpacing/>
        <w:rPr>
          <w:sz w:val="24"/>
        </w:rPr>
      </w:pPr>
      <w:r>
        <w:rPr>
          <w:sz w:val="24"/>
        </w:rPr>
        <w:t>联系人：</w:t>
      </w:r>
      <w:r>
        <w:rPr>
          <w:rFonts w:hint="eastAsia"/>
          <w:sz w:val="24"/>
          <w:lang w:val="en-US" w:eastAsia="zh-CN"/>
        </w:rPr>
        <w:t>邹</w:t>
      </w:r>
      <w:r>
        <w:rPr>
          <w:rFonts w:hint="eastAsia"/>
          <w:sz w:val="24"/>
        </w:rPr>
        <w:t>老师</w:t>
      </w:r>
    </w:p>
    <w:p>
      <w:pPr>
        <w:pStyle w:val="44"/>
        <w:ind w:left="560" w:firstLine="0" w:firstLineChars="0"/>
        <w:contextualSpacing/>
        <w:rPr>
          <w:rFonts w:hint="default" w:eastAsia="宋体"/>
          <w:sz w:val="24"/>
          <w:lang w:val="en-US" w:eastAsia="zh-CN"/>
        </w:rPr>
      </w:pPr>
      <w:r>
        <w:rPr>
          <w:sz w:val="24"/>
        </w:rPr>
        <w:t>电  话：</w:t>
      </w:r>
      <w:r>
        <w:rPr>
          <w:rFonts w:hint="eastAsia"/>
          <w:sz w:val="24"/>
          <w:lang w:val="en-US" w:eastAsia="zh-CN"/>
        </w:rPr>
        <w:t>0816-5222252</w:t>
      </w:r>
    </w:p>
    <w:p>
      <w:pPr>
        <w:pStyle w:val="44"/>
        <w:ind w:firstLine="720"/>
        <w:contextualSpacing/>
        <w:jc w:val="left"/>
        <w:rPr>
          <w:sz w:val="24"/>
        </w:rPr>
      </w:pPr>
      <w:bookmarkStart w:id="1" w:name="_Toc520455380"/>
      <w:bookmarkStart w:id="2" w:name="_Toc52036323"/>
      <w:bookmarkStart w:id="3" w:name="_Toc418004672"/>
      <w:r>
        <w:rPr>
          <w:sz w:val="36"/>
          <w:szCs w:val="36"/>
        </w:rPr>
        <w:t xml:space="preserve"> </w:t>
      </w:r>
      <w:bookmarkEnd w:id="1"/>
      <w:bookmarkEnd w:id="2"/>
    </w:p>
    <w:bookmarkEnd w:id="3"/>
    <w:p>
      <w:pPr>
        <w:rPr>
          <w:rFonts w:ascii="Times New Roman" w:hAnsi="Times New Roman"/>
          <w:b/>
          <w:sz w:val="36"/>
          <w:szCs w:val="36"/>
        </w:rPr>
      </w:pPr>
      <w:bookmarkStart w:id="4" w:name="_Toc52036324"/>
      <w:r>
        <w:rPr>
          <w:rFonts w:ascii="Times New Roman" w:hAnsi="Times New Roman"/>
          <w:b/>
          <w:sz w:val="36"/>
          <w:szCs w:val="36"/>
        </w:rPr>
        <w:br w:type="page"/>
      </w:r>
    </w:p>
    <w:p>
      <w:pPr>
        <w:widowControl/>
        <w:spacing w:line="360" w:lineRule="auto"/>
        <w:jc w:val="center"/>
        <w:rPr>
          <w:rFonts w:ascii="Times New Roman" w:hAnsi="Times New Roman"/>
          <w:b/>
          <w:kern w:val="0"/>
          <w:sz w:val="24"/>
          <w:szCs w:val="28"/>
        </w:rPr>
      </w:pPr>
      <w:r>
        <w:rPr>
          <w:rFonts w:ascii="Times New Roman" w:hAnsi="Times New Roman"/>
          <w:b/>
          <w:sz w:val="36"/>
          <w:szCs w:val="36"/>
        </w:rPr>
        <w:t>第</w:t>
      </w:r>
      <w:r>
        <w:rPr>
          <w:rFonts w:hint="eastAsia" w:ascii="Times New Roman" w:hAnsi="Times New Roman"/>
          <w:b/>
          <w:sz w:val="36"/>
          <w:szCs w:val="36"/>
        </w:rPr>
        <w:t>二</w:t>
      </w:r>
      <w:r>
        <w:rPr>
          <w:rFonts w:ascii="Times New Roman" w:hAnsi="Times New Roman"/>
          <w:b/>
          <w:sz w:val="36"/>
          <w:szCs w:val="36"/>
        </w:rPr>
        <w:t>章  技术</w:t>
      </w:r>
      <w:r>
        <w:rPr>
          <w:rFonts w:hint="eastAsia" w:ascii="Times New Roman" w:hAnsi="Times New Roman"/>
          <w:b/>
          <w:sz w:val="36"/>
          <w:szCs w:val="36"/>
          <w:lang w:val="en-US" w:eastAsia="zh-CN"/>
        </w:rPr>
        <w:t>参数</w:t>
      </w:r>
      <w:r>
        <w:rPr>
          <w:rFonts w:ascii="Times New Roman" w:hAnsi="Times New Roman"/>
          <w:b/>
          <w:sz w:val="36"/>
          <w:szCs w:val="36"/>
        </w:rPr>
        <w:t>、商务要求</w:t>
      </w:r>
      <w:bookmarkEnd w:id="4"/>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b/>
          <w:bCs/>
          <w:sz w:val="21"/>
        </w:rPr>
      </w:pPr>
      <w:bookmarkStart w:id="5" w:name="_Toc350964160"/>
      <w:bookmarkStart w:id="6" w:name="_Toc233048245"/>
      <w:r>
        <w:rPr>
          <w:rFonts w:hint="eastAsia" w:ascii="宋体" w:hAnsi="宋体"/>
          <w:b/>
          <w:bCs/>
          <w:sz w:val="21"/>
        </w:rPr>
        <w:t>(一）具体要求</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sz w:val="21"/>
        </w:rPr>
      </w:pPr>
      <w:r>
        <w:rPr>
          <w:rFonts w:hint="eastAsia" w:ascii="宋体" w:hAnsi="宋体"/>
          <w:sz w:val="21"/>
        </w:rPr>
        <w:t>保障系统稳定运行，保障系统的数据安全，改善系统运行性能，提升开发人员对数据库的利用能力和水平。服务内容包括：</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sz w:val="21"/>
        </w:rPr>
      </w:pPr>
      <w:r>
        <w:rPr>
          <w:rFonts w:hint="eastAsia" w:ascii="宋体" w:hAnsi="宋体"/>
          <w:sz w:val="21"/>
        </w:rPr>
        <w:t>1、健康检查</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sz w:val="21"/>
        </w:rPr>
      </w:pPr>
      <w:r>
        <w:rPr>
          <w:rFonts w:hint="eastAsia" w:ascii="宋体" w:hAnsi="宋体"/>
          <w:sz w:val="21"/>
        </w:rPr>
        <w:t>至少每月一次到现场对数据库进行预防性巡检，并提交报告，至少每季度进行一次容灾测试。现场检查的内容应包括但不限于以下内容：</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sz w:val="21"/>
        </w:rPr>
      </w:pPr>
      <w:r>
        <w:rPr>
          <w:rFonts w:hint="eastAsia" w:ascii="宋体" w:hAnsi="宋体"/>
          <w:sz w:val="21"/>
        </w:rPr>
        <w:t>（1）容错检查，检查并分析系统日志及跟踪文件，发现并排除数据库及应用系统的错误隐患；</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sz w:val="21"/>
        </w:rPr>
      </w:pPr>
      <w:r>
        <w:rPr>
          <w:rFonts w:hint="eastAsia" w:ascii="宋体" w:hAnsi="宋体"/>
          <w:sz w:val="21"/>
        </w:rPr>
        <w:t>（2）检查数据库及应用系统配置的健康情况；</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sz w:val="21"/>
        </w:rPr>
      </w:pPr>
      <w:r>
        <w:rPr>
          <w:rFonts w:hint="eastAsia" w:ascii="宋体" w:hAnsi="宋体"/>
          <w:sz w:val="21"/>
        </w:rPr>
        <w:t>（3）发现并排除数据库系统错误隐患；</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sz w:val="21"/>
        </w:rPr>
      </w:pPr>
      <w:r>
        <w:rPr>
          <w:rFonts w:hint="eastAsia" w:ascii="宋体" w:hAnsi="宋体"/>
          <w:sz w:val="21"/>
        </w:rPr>
        <w:t>（4）检查数据库系统是否需要应用最新的补丁集；</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sz w:val="21"/>
        </w:rPr>
      </w:pPr>
      <w:r>
        <w:rPr>
          <w:rFonts w:hint="eastAsia" w:ascii="宋体" w:hAnsi="宋体"/>
          <w:sz w:val="21"/>
        </w:rPr>
        <w:t>（5） 检查数据库空间的使用情况，协助进行数据库空间的规划管理；</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sz w:val="21"/>
        </w:rPr>
      </w:pPr>
      <w:r>
        <w:rPr>
          <w:rFonts w:hint="eastAsia" w:ascii="宋体" w:hAnsi="宋体"/>
          <w:sz w:val="21"/>
        </w:rPr>
        <w:t>（6）检查数据库备份的一致性，完整性；</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sz w:val="21"/>
        </w:rPr>
      </w:pPr>
      <w:r>
        <w:rPr>
          <w:rFonts w:hint="eastAsia" w:ascii="宋体" w:hAnsi="宋体"/>
          <w:sz w:val="21"/>
        </w:rPr>
        <w:t>2、数据库及应用系统性能调优</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sz w:val="21"/>
        </w:rPr>
      </w:pPr>
      <w:r>
        <w:rPr>
          <w:rFonts w:hint="eastAsia" w:ascii="宋体" w:hAnsi="宋体"/>
          <w:sz w:val="21"/>
        </w:rPr>
        <w:t>数据库及应用系统性能调优应包括但不限于以下内容：</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sz w:val="21"/>
        </w:rPr>
      </w:pPr>
      <w:r>
        <w:rPr>
          <w:rFonts w:hint="eastAsia" w:ascii="宋体" w:hAnsi="宋体"/>
          <w:sz w:val="21"/>
        </w:rPr>
        <w:t>（1）利用工具采集院内系统运行时的各项监控数据；</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sz w:val="21"/>
        </w:rPr>
      </w:pPr>
      <w:r>
        <w:rPr>
          <w:rFonts w:hint="eastAsia" w:ascii="宋体" w:hAnsi="宋体"/>
          <w:sz w:val="21"/>
        </w:rPr>
        <w:t>（2）分析系统主要的性能瓶颈；</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sz w:val="21"/>
        </w:rPr>
      </w:pPr>
      <w:r>
        <w:rPr>
          <w:rFonts w:hint="eastAsia" w:ascii="宋体" w:hAnsi="宋体"/>
          <w:sz w:val="21"/>
        </w:rPr>
        <w:t>（3）分析系统、网络、应用软件及数据库等各方面资源的使用情况；</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sz w:val="21"/>
        </w:rPr>
      </w:pPr>
      <w:r>
        <w:rPr>
          <w:rFonts w:hint="eastAsia" w:ascii="宋体" w:hAnsi="宋体"/>
          <w:sz w:val="21"/>
        </w:rPr>
        <w:t>（4）确定系统性能现状及性能调整的目标；</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sz w:val="21"/>
        </w:rPr>
      </w:pPr>
      <w:r>
        <w:rPr>
          <w:rFonts w:hint="eastAsia" w:ascii="宋体" w:hAnsi="宋体"/>
          <w:sz w:val="21"/>
        </w:rPr>
        <w:t>（5）定位系统中出现的性能瓶颈；</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sz w:val="21"/>
        </w:rPr>
      </w:pPr>
      <w:r>
        <w:rPr>
          <w:rFonts w:hint="eastAsia" w:ascii="宋体" w:hAnsi="宋体"/>
          <w:sz w:val="21"/>
        </w:rPr>
        <w:t>（6）测试验证针对性能瓶颈进行的改进方案；</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sz w:val="21"/>
        </w:rPr>
      </w:pPr>
      <w:r>
        <w:rPr>
          <w:rFonts w:hint="eastAsia" w:ascii="宋体" w:hAnsi="宋体"/>
          <w:sz w:val="21"/>
        </w:rPr>
        <w:t>3、协助招标方完善数据库备份恢复策略，提供完整的备份恢复策略方案，在双方协商确定并进行实施，每季度进行一次数据库备份验证。</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sz w:val="21"/>
        </w:rPr>
      </w:pPr>
      <w:r>
        <w:rPr>
          <w:rFonts w:hint="eastAsia" w:ascii="宋体" w:hAnsi="宋体"/>
          <w:sz w:val="21"/>
        </w:rPr>
        <w:t>4、出现灾难性故障时现场协助系统和数据的恢复工作，保障数据库系统的正常运行,并提供故障报告书，于招标方单位所在地召开故障恢复总结会，提出对应解决方案。</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sz w:val="21"/>
        </w:rPr>
      </w:pPr>
      <w:r>
        <w:rPr>
          <w:rFonts w:hint="eastAsia" w:ascii="宋体" w:hAnsi="宋体"/>
          <w:sz w:val="21"/>
        </w:rPr>
        <w:t>5、配合招标方实施数据迁移以及数据业务能力综合建设服务。包括但不限于以下内容：</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sz w:val="21"/>
        </w:rPr>
      </w:pPr>
      <w:r>
        <w:rPr>
          <w:rFonts w:hint="eastAsia" w:ascii="宋体" w:hAnsi="宋体"/>
          <w:sz w:val="21"/>
        </w:rPr>
        <w:t>（1）充分了解招标方实施数据迁移和数据灾备建设预期目标，为招标方提供合理的硬件参数建议。</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sz w:val="21"/>
        </w:rPr>
      </w:pPr>
      <w:r>
        <w:rPr>
          <w:rFonts w:hint="eastAsia" w:ascii="宋体" w:hAnsi="宋体"/>
          <w:sz w:val="21"/>
        </w:rPr>
        <w:t>（2）给出实施数据迁移以及数据灾备建设过程中涉及到所有相关硬件安装调试方案。</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sz w:val="21"/>
        </w:rPr>
      </w:pPr>
      <w:r>
        <w:rPr>
          <w:rFonts w:hint="eastAsia" w:ascii="宋体" w:hAnsi="宋体"/>
          <w:sz w:val="21"/>
        </w:rPr>
        <w:t>（3）完成招标方提供的基础操作系统安装（服务器端）、补丁安装、存储连接、多路径等。</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sz w:val="21"/>
        </w:rPr>
      </w:pPr>
      <w:r>
        <w:rPr>
          <w:rFonts w:hint="eastAsia" w:ascii="宋体" w:hAnsi="宋体"/>
          <w:sz w:val="21"/>
        </w:rPr>
        <w:t>（4）基础数据库软件、相应补丁程序的安装、数据库软件基础环境参数配置。</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sz w:val="21"/>
        </w:rPr>
      </w:pPr>
      <w:r>
        <w:rPr>
          <w:rFonts w:hint="eastAsia" w:ascii="宋体" w:hAnsi="宋体"/>
          <w:sz w:val="21"/>
        </w:rPr>
        <w:t>（5）数据迁移、数据同步、数据灾备监控等。</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sz w:val="21"/>
        </w:rPr>
      </w:pPr>
      <w:r>
        <w:rPr>
          <w:rFonts w:hint="eastAsia" w:ascii="宋体" w:hAnsi="宋体"/>
          <w:sz w:val="21"/>
        </w:rPr>
        <w:t>6、配合招标方进行数据库整体规划。</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sz w:val="21"/>
        </w:rPr>
      </w:pPr>
      <w:r>
        <w:rPr>
          <w:rFonts w:hint="eastAsia" w:ascii="宋体" w:hAnsi="宋体"/>
          <w:sz w:val="21"/>
        </w:rPr>
        <w:t>7、配合招标方实施整体数据库安全方案。</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sz w:val="21"/>
        </w:rPr>
      </w:pPr>
      <w:r>
        <w:rPr>
          <w:rFonts w:hint="eastAsia" w:ascii="宋体" w:hAnsi="宋体"/>
          <w:sz w:val="21"/>
        </w:rPr>
        <w:t>8、免费提供必要的数据库补丁升级安装服务。</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sz w:val="21"/>
        </w:rPr>
      </w:pPr>
      <w:r>
        <w:rPr>
          <w:rFonts w:hint="eastAsia" w:ascii="宋体" w:hAnsi="宋体"/>
          <w:sz w:val="21"/>
        </w:rPr>
        <w:t>9、技术支持。负责解答招标方提出的问题，协助解决有时诊断出来并非数据库的问题；提供维护技术人员联系方式，无限次电话及邮件支持，必要时现场响应并及时解决。</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sz w:val="21"/>
        </w:rPr>
      </w:pPr>
      <w:r>
        <w:rPr>
          <w:rFonts w:hint="eastAsia" w:ascii="宋体" w:hAnsi="宋体"/>
          <w:sz w:val="21"/>
        </w:rPr>
        <w:t>10、配合招标方实施并开发符合业务科室需求的数据服务，帮助业务科室提升数据服务能力。</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sz w:val="21"/>
        </w:rPr>
      </w:pPr>
      <w:r>
        <w:rPr>
          <w:rFonts w:hint="eastAsia" w:ascii="宋体" w:hAnsi="宋体"/>
          <w:sz w:val="21"/>
        </w:rPr>
        <w:t>11、提供所有业务数据实时跟踪功能，可以溯源数据来源，提供完善的业务数据解决方案，业务场景分析功能，数据利用能力等，如各个业务科室需要的数据等。</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sz w:val="21"/>
        </w:rPr>
      </w:pPr>
      <w:r>
        <w:rPr>
          <w:rFonts w:hint="eastAsia" w:ascii="宋体" w:hAnsi="宋体"/>
          <w:sz w:val="21"/>
        </w:rPr>
        <w:t>1</w:t>
      </w:r>
      <w:r>
        <w:rPr>
          <w:rFonts w:ascii="宋体" w:hAnsi="宋体"/>
          <w:sz w:val="21"/>
        </w:rPr>
        <w:t>2</w:t>
      </w:r>
      <w:r>
        <w:rPr>
          <w:rFonts w:hint="eastAsia" w:ascii="宋体" w:hAnsi="宋体"/>
          <w:sz w:val="21"/>
        </w:rPr>
        <w:t>、建设医院各个业务系统读写分离机制，完善主备同步模式。</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sz w:val="21"/>
        </w:rPr>
      </w:pPr>
      <w:r>
        <w:rPr>
          <w:rFonts w:hint="eastAsia" w:ascii="宋体" w:hAnsi="宋体"/>
          <w:sz w:val="21"/>
        </w:rPr>
        <w:t>1</w:t>
      </w:r>
      <w:r>
        <w:rPr>
          <w:rFonts w:ascii="宋体" w:hAnsi="宋体"/>
          <w:sz w:val="21"/>
        </w:rPr>
        <w:t>3</w:t>
      </w:r>
      <w:r>
        <w:rPr>
          <w:rFonts w:hint="eastAsia" w:ascii="宋体" w:hAnsi="宋体"/>
          <w:sz w:val="21"/>
        </w:rPr>
        <w:t>、针对部分系统进行历史数据剥离内容，减少日常锁表与卡顿现象发生。</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sz w:val="21"/>
        </w:rPr>
      </w:pPr>
      <w:r>
        <w:rPr>
          <w:rFonts w:hint="eastAsia" w:ascii="宋体" w:hAnsi="宋体"/>
          <w:sz w:val="21"/>
        </w:rPr>
        <w:t>1</w:t>
      </w:r>
      <w:r>
        <w:rPr>
          <w:rFonts w:ascii="宋体" w:hAnsi="宋体"/>
          <w:sz w:val="21"/>
        </w:rPr>
        <w:t>4</w:t>
      </w:r>
      <w:r>
        <w:rPr>
          <w:rFonts w:hint="eastAsia" w:ascii="宋体" w:hAnsi="宋体"/>
          <w:sz w:val="21"/>
        </w:rPr>
        <w:t>、巡检与技术培训。</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sz w:val="21"/>
        </w:rPr>
      </w:pPr>
      <w:r>
        <w:rPr>
          <w:rFonts w:hint="eastAsia" w:ascii="宋体" w:hAnsi="宋体"/>
          <w:sz w:val="21"/>
        </w:rPr>
        <w:t>（1）提供特殊时段（如：出账日、春节、劳动节、国庆节、年终、系统停机维护及用户认为必须的重要时段）技术支持的服务，以及产品安装、系统变更和迁移等的现场支持服务。</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sz w:val="21"/>
        </w:rPr>
      </w:pPr>
      <w:r>
        <w:rPr>
          <w:rFonts w:hint="eastAsia" w:ascii="宋体" w:hAnsi="宋体"/>
          <w:sz w:val="21"/>
        </w:rPr>
        <w:t>（2）每月至少一次例行巡检即预防性维护并提供例行巡检报告。</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sz w:val="21"/>
        </w:rPr>
      </w:pPr>
      <w:r>
        <w:rPr>
          <w:rFonts w:hint="eastAsia" w:ascii="宋体" w:hAnsi="宋体"/>
          <w:sz w:val="21"/>
        </w:rPr>
        <w:t>（3）在维保期内如遇到投标方不能解决的问题，招标方有权请其他公司进行解决，产生的费用全部由投标方负担。</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sz w:val="21"/>
        </w:rPr>
      </w:pPr>
      <w:r>
        <w:rPr>
          <w:rFonts w:hint="eastAsia" w:ascii="宋体" w:hAnsi="宋体"/>
          <w:sz w:val="21"/>
        </w:rPr>
        <w:t>（4）每季度进行一次维护工作总结，并提交报告书；</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sz w:val="21"/>
        </w:rPr>
      </w:pPr>
      <w:r>
        <w:rPr>
          <w:rFonts w:hint="eastAsia" w:ascii="宋体" w:hAnsi="宋体"/>
          <w:sz w:val="21"/>
        </w:rPr>
        <w:t>（5）投标方在服务年度期满前十五天应通知招标方，并完成年度现场维护，提供年度服务总结报告。</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sz w:val="21"/>
        </w:rPr>
      </w:pPr>
      <w:r>
        <w:rPr>
          <w:rFonts w:hint="eastAsia" w:ascii="宋体" w:hAnsi="宋体"/>
          <w:sz w:val="21"/>
        </w:rPr>
        <w:t>★（6）维护周期内投标方应提供不少于两次技术培训，帮助招标方提升业务水平。</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b/>
          <w:bCs/>
          <w:sz w:val="21"/>
        </w:rPr>
      </w:pPr>
      <w:r>
        <w:rPr>
          <w:rFonts w:hint="eastAsia" w:ascii="宋体" w:hAnsi="宋体"/>
          <w:b/>
          <w:bCs/>
          <w:sz w:val="21"/>
        </w:rPr>
        <w:t>（二）其它要求</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sz w:val="21"/>
        </w:rPr>
      </w:pPr>
      <w:r>
        <w:rPr>
          <w:rFonts w:hint="eastAsia" w:ascii="宋体" w:hAnsi="宋体"/>
          <w:sz w:val="21"/>
        </w:rPr>
        <w:t>★服务要求：投标人应提供365*24小时全天技术支持服务，并根据招标方需要提供30分钟内到达现场的支持服务，一般性故障30分钟内处理完毕，特殊性故障1小时内需专人到场处理并启动应急方案，并出具相应报告。（需要提供承诺函并加盖公司鲜章）。若在服务周期内，未能达成以上服务要求，每出现一次招标方有权从应支付尾款中扣除1000元，情节严重者招标方可以单方面解除协议；</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sz w:val="21"/>
        </w:rPr>
      </w:pPr>
      <w:r>
        <w:rPr>
          <w:rFonts w:hint="eastAsia" w:ascii="宋体" w:hAnsi="宋体"/>
          <w:sz w:val="21"/>
        </w:rPr>
        <w:t xml:space="preserve">★人员要求：为保证服务质量，投标方需安排至少两名以上专业数据库工程师熟悉我院业务系统、数据库情况和网络架构等，投标方人员变更需提前3个工作日主动告知招标方，若因投标方人员变更导致服务效率和质量下降的，招标方有权单方面解除协议； </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sz w:val="21"/>
        </w:rPr>
      </w:pPr>
      <w:r>
        <w:rPr>
          <w:rFonts w:hint="eastAsia" w:ascii="宋体" w:hAnsi="宋体"/>
          <w:sz w:val="21"/>
        </w:rPr>
        <w:t>★保密要求：投标人承诺对数据库维保服务中涉及到的所有招标方相关信息，包括但不仅限于：数据库、服务器账户密码，数据库结构，生产数据，数据备份等不私自备份保留或外传，对外无限期保密，需签署保密协议。</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b/>
          <w:bCs/>
          <w:sz w:val="21"/>
        </w:rPr>
      </w:pPr>
      <w:r>
        <w:rPr>
          <w:rFonts w:hint="eastAsia" w:ascii="宋体" w:hAnsi="宋体"/>
          <w:b/>
          <w:bCs/>
          <w:sz w:val="21"/>
        </w:rPr>
        <w:t>三、商务要求（服务要求中有特别要求的除外）</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sz w:val="21"/>
        </w:rPr>
      </w:pPr>
      <w:r>
        <w:rPr>
          <w:rFonts w:hint="eastAsia" w:ascii="宋体" w:hAnsi="宋体"/>
          <w:sz w:val="21"/>
        </w:rPr>
        <w:t>★1、付款方式</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sz w:val="21"/>
        </w:rPr>
      </w:pPr>
      <w:r>
        <w:rPr>
          <w:rFonts w:hint="eastAsia" w:ascii="宋体" w:hAnsi="宋体"/>
          <w:sz w:val="21"/>
        </w:rPr>
        <w:t>合同正式签订后付30%，运维服务实施6个月后付30%，运维期满后付40%。</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sz w:val="21"/>
        </w:rPr>
      </w:pPr>
      <w:r>
        <w:rPr>
          <w:rFonts w:hint="eastAsia" w:ascii="宋体" w:hAnsi="宋体"/>
          <w:sz w:val="21"/>
        </w:rPr>
        <w:t>★2、服务期限</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cs="宋体"/>
          <w:b/>
          <w:color w:val="000000"/>
          <w:szCs w:val="21"/>
        </w:rPr>
      </w:pPr>
      <w:r>
        <w:rPr>
          <w:rFonts w:hint="eastAsia" w:ascii="宋体" w:hAnsi="宋体"/>
          <w:sz w:val="21"/>
        </w:rPr>
        <w:t>数据库维保服务在项目合同签订当天开始执行，服务期限为1年。</w:t>
      </w:r>
    </w:p>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宋体"/>
          <w:b/>
          <w:color w:val="000000"/>
          <w:szCs w:val="21"/>
        </w:rPr>
      </w:pPr>
      <w:r>
        <w:rPr>
          <w:rFonts w:hint="eastAsia" w:ascii="宋体" w:hAnsi="宋体" w:cs="宋体"/>
          <w:b/>
          <w:color w:val="000000"/>
          <w:szCs w:val="21"/>
        </w:rPr>
        <w:t>备注：1、采购人有权逐条验收设备，虚假应标将按照相关法律法规处理。</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Ansi="宋体" w:eastAsia="宋体" w:cs="宋体"/>
          <w:color w:val="000000"/>
          <w:sz w:val="24"/>
          <w:szCs w:val="24"/>
          <w:lang w:bidi="ar"/>
        </w:rPr>
      </w:pPr>
      <w:r>
        <w:rPr>
          <w:rFonts w:hint="eastAsia" w:ascii="宋体" w:hAnsi="宋体" w:cs="宋体"/>
          <w:b/>
          <w:color w:val="000000"/>
          <w:szCs w:val="21"/>
        </w:rPr>
        <w:t xml:space="preserve">  </w:t>
      </w:r>
      <w:r>
        <w:rPr>
          <w:rFonts w:hint="eastAsia" w:ascii="宋体" w:hAnsi="宋体" w:cs="宋体"/>
          <w:b/>
          <w:color w:val="000000"/>
          <w:szCs w:val="21"/>
          <w:lang w:val="en-US" w:eastAsia="zh-CN"/>
        </w:rPr>
        <w:t xml:space="preserve">    </w:t>
      </w:r>
      <w:r>
        <w:rPr>
          <w:rFonts w:hint="eastAsia" w:ascii="宋体" w:hAnsi="宋体" w:cs="宋体"/>
          <w:b/>
          <w:color w:val="000000"/>
          <w:szCs w:val="21"/>
        </w:rPr>
        <w:t>2、标记“</w:t>
      </w:r>
      <w:r>
        <w:rPr>
          <w:rFonts w:hint="eastAsia" w:ascii="宋体" w:hAnsi="宋体" w:cs="宋体"/>
        </w:rPr>
        <w:t>★</w:t>
      </w:r>
      <w:r>
        <w:rPr>
          <w:rFonts w:hint="eastAsia" w:ascii="宋体" w:hAnsi="宋体" w:cs="宋体"/>
          <w:b/>
          <w:color w:val="000000"/>
          <w:szCs w:val="21"/>
        </w:rPr>
        <w:t>”为实质性条款，不满足做无效投标处理。</w:t>
      </w:r>
      <w:r>
        <w:rPr>
          <w:rFonts w:hint="eastAsia" w:ascii="仿宋" w:hAnsi="仿宋" w:eastAsia="仿宋"/>
          <w:sz w:val="21"/>
        </w:rPr>
        <w:t xml:space="preserve"> </w:t>
      </w:r>
    </w:p>
    <w:p>
      <w:pPr>
        <w:keepNext w:val="0"/>
        <w:keepLines w:val="0"/>
        <w:pageBreakBefore w:val="0"/>
        <w:widowControl w:val="0"/>
        <w:kinsoku/>
        <w:wordWrap/>
        <w:overflowPunct/>
        <w:topLinePunct w:val="0"/>
        <w:autoSpaceDE/>
        <w:autoSpaceDN/>
        <w:bidi w:val="0"/>
        <w:adjustRightInd/>
        <w:snapToGrid w:val="0"/>
        <w:spacing w:line="360" w:lineRule="exact"/>
        <w:ind w:firstLine="632" w:firstLineChars="300"/>
        <w:textAlignment w:val="auto"/>
        <w:rPr>
          <w:rFonts w:hint="eastAsia" w:ascii="宋体" w:hAnsi="宋体" w:cs="宋体"/>
          <w:b/>
          <w:color w:val="000000"/>
          <w:szCs w:val="21"/>
        </w:rPr>
      </w:pPr>
      <w:r>
        <w:rPr>
          <w:rFonts w:hint="eastAsia" w:ascii="宋体" w:hAnsi="宋体" w:cs="宋体"/>
          <w:b/>
          <w:color w:val="000000"/>
          <w:szCs w:val="21"/>
          <w:lang w:val="en-US" w:eastAsia="zh-CN"/>
        </w:rPr>
        <w:t>3、</w:t>
      </w:r>
      <w:r>
        <w:rPr>
          <w:rFonts w:hint="eastAsia" w:ascii="宋体" w:hAnsi="宋体" w:cs="宋体"/>
          <w:b/>
          <w:color w:val="000000"/>
          <w:szCs w:val="21"/>
        </w:rPr>
        <w:t>报价超过采购限价为无效响应文件。</w:t>
      </w:r>
    </w:p>
    <w:p>
      <w:pPr>
        <w:widowControl/>
        <w:jc w:val="left"/>
        <w:rPr>
          <w:rFonts w:asciiTheme="minorEastAsia" w:hAnsiTheme="minorEastAsia" w:eastAsiaTheme="minorEastAsia"/>
          <w:b/>
          <w:bCs/>
          <w:kern w:val="0"/>
          <w:sz w:val="24"/>
        </w:rPr>
      </w:pPr>
    </w:p>
    <w:p>
      <w:pPr>
        <w:widowControl/>
        <w:jc w:val="left"/>
        <w:rPr>
          <w:rFonts w:asciiTheme="minorEastAsia" w:hAnsiTheme="minorEastAsia" w:eastAsiaTheme="minorEastAsia"/>
          <w:b/>
          <w:bCs/>
          <w:kern w:val="0"/>
          <w:sz w:val="24"/>
        </w:rPr>
      </w:pPr>
    </w:p>
    <w:p>
      <w:pPr>
        <w:rPr>
          <w:rFonts w:ascii="Times New Roman" w:hAnsi="Times New Roman"/>
          <w:sz w:val="36"/>
          <w:szCs w:val="36"/>
        </w:rPr>
      </w:pPr>
      <w:bookmarkStart w:id="7" w:name="_Toc520455383"/>
      <w:bookmarkStart w:id="8" w:name="_Toc52036325"/>
    </w:p>
    <w:p>
      <w:pPr>
        <w:rPr>
          <w:rFonts w:ascii="Times New Roman" w:hAnsi="Times New Roman"/>
          <w:sz w:val="36"/>
          <w:szCs w:val="36"/>
        </w:rPr>
      </w:pPr>
      <w:r>
        <w:rPr>
          <w:rFonts w:ascii="Times New Roman" w:hAnsi="Times New Roman"/>
          <w:sz w:val="36"/>
          <w:szCs w:val="36"/>
        </w:rPr>
        <w:br w:type="page"/>
      </w:r>
    </w:p>
    <w:p>
      <w:pPr>
        <w:pStyle w:val="3"/>
        <w:pageBreakBefore w:val="0"/>
        <w:kinsoku/>
        <w:wordWrap/>
        <w:overflowPunct/>
        <w:topLinePunct w:val="0"/>
        <w:bidi w:val="0"/>
        <w:snapToGrid/>
        <w:spacing w:line="400" w:lineRule="exact"/>
        <w:jc w:val="center"/>
        <w:textAlignment w:val="auto"/>
        <w:rPr>
          <w:rFonts w:ascii="Times New Roman" w:hAnsi="Times New Roman"/>
          <w:sz w:val="36"/>
          <w:szCs w:val="36"/>
        </w:rPr>
      </w:pPr>
      <w:r>
        <w:rPr>
          <w:rFonts w:ascii="Times New Roman" w:hAnsi="Times New Roman"/>
          <w:sz w:val="36"/>
          <w:szCs w:val="36"/>
        </w:rPr>
        <w:t>第</w:t>
      </w:r>
      <w:r>
        <w:rPr>
          <w:rFonts w:hint="eastAsia" w:ascii="Times New Roman" w:hAnsi="Times New Roman"/>
          <w:sz w:val="36"/>
          <w:szCs w:val="36"/>
        </w:rPr>
        <w:t>三</w:t>
      </w:r>
      <w:r>
        <w:rPr>
          <w:rFonts w:ascii="Times New Roman" w:hAnsi="Times New Roman"/>
          <w:sz w:val="36"/>
          <w:szCs w:val="36"/>
        </w:rPr>
        <w:t>章  响应文件格式</w:t>
      </w:r>
      <w:bookmarkEnd w:id="7"/>
      <w:bookmarkEnd w:id="8"/>
      <w:r>
        <w:rPr>
          <w:rFonts w:hint="eastAsia" w:ascii="Times New Roman" w:hAnsi="Times New Roman"/>
          <w:sz w:val="36"/>
          <w:szCs w:val="36"/>
        </w:rPr>
        <w:t>和要求</w:t>
      </w:r>
    </w:p>
    <w:p>
      <w:pPr>
        <w:pageBreakBefore w:val="0"/>
        <w:kinsoku/>
        <w:wordWrap/>
        <w:overflowPunct/>
        <w:topLinePunct w:val="0"/>
        <w:bidi w:val="0"/>
        <w:snapToGrid/>
        <w:spacing w:line="400" w:lineRule="exact"/>
        <w:textAlignment w:val="auto"/>
        <w:rPr>
          <w:rFonts w:ascii="宋体" w:hAnsi="宋体" w:cs="宋体"/>
          <w:sz w:val="28"/>
          <w:szCs w:val="28"/>
        </w:rPr>
      </w:pPr>
      <w:r>
        <w:rPr>
          <w:rFonts w:hint="eastAsia" w:ascii="Times New Roman" w:hAnsi="Times New Roman"/>
          <w:b/>
          <w:kern w:val="0"/>
          <w:sz w:val="24"/>
        </w:rPr>
        <w:t>一、响应文件要求：</w:t>
      </w:r>
      <w:r>
        <w:rPr>
          <w:rFonts w:hint="eastAsia" w:ascii="Times New Roman" w:hAnsi="Times New Roman" w:cs="Times New Roman"/>
          <w:b/>
          <w:kern w:val="0"/>
          <w:sz w:val="24"/>
        </w:rPr>
        <w:t xml:space="preserve">响应文件需具有的资料(仅有但不限于) </w:t>
      </w:r>
    </w:p>
    <w:p>
      <w:pPr>
        <w:pageBreakBefore w:val="0"/>
        <w:kinsoku/>
        <w:wordWrap/>
        <w:overflowPunct/>
        <w:topLinePunct w:val="0"/>
        <w:bidi w:val="0"/>
        <w:snapToGrid/>
        <w:spacing w:line="400" w:lineRule="exact"/>
        <w:jc w:val="left"/>
        <w:textAlignment w:val="auto"/>
        <w:rPr>
          <w:rFonts w:ascii="Times New Roman" w:hAnsi="Times New Roman"/>
          <w:b/>
          <w:kern w:val="0"/>
          <w:sz w:val="24"/>
        </w:rPr>
      </w:pPr>
      <w:r>
        <w:rPr>
          <w:rFonts w:hint="eastAsia" w:ascii="Times New Roman" w:hAnsi="Times New Roman"/>
          <w:b/>
          <w:kern w:val="0"/>
          <w:sz w:val="24"/>
        </w:rPr>
        <w:t>（一式两份，一正一副，封面注明</w:t>
      </w:r>
      <w:r>
        <w:rPr>
          <w:rFonts w:hint="eastAsia" w:ascii="Times New Roman" w:hAnsi="Times New Roman"/>
          <w:b/>
          <w:kern w:val="0"/>
          <w:sz w:val="24"/>
          <w:lang w:val="en-US" w:eastAsia="zh-CN"/>
        </w:rPr>
        <w:t>项目</w:t>
      </w:r>
      <w:r>
        <w:rPr>
          <w:rFonts w:hint="eastAsia" w:ascii="Times New Roman" w:hAnsi="Times New Roman"/>
          <w:b/>
          <w:kern w:val="0"/>
          <w:sz w:val="24"/>
        </w:rPr>
        <w:t>名称，报价为一次性报价。）</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kern w:val="0"/>
          <w:sz w:val="24"/>
          <w:lang w:val="zh-CN"/>
        </w:rPr>
      </w:pPr>
      <w:r>
        <w:rPr>
          <w:rFonts w:ascii="Times New Roman" w:hAnsi="Times New Roman"/>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kern w:val="0"/>
          <w:sz w:val="24"/>
          <w:lang w:val="zh-CN"/>
        </w:rPr>
      </w:pPr>
      <w:r>
        <w:rPr>
          <w:rFonts w:ascii="Times New Roman" w:hAnsi="Times New Roman"/>
          <w:kern w:val="0"/>
          <w:sz w:val="24"/>
          <w:lang w:val="zh-CN"/>
        </w:rPr>
        <w:t>2、提供具有良好的商业信誉承诺书及20</w:t>
      </w:r>
      <w:r>
        <w:rPr>
          <w:rFonts w:hint="eastAsia" w:ascii="Times New Roman" w:hAnsi="Times New Roman"/>
          <w:kern w:val="0"/>
          <w:sz w:val="24"/>
          <w:lang w:val="en-US" w:eastAsia="zh-CN"/>
        </w:rPr>
        <w:t>20</w:t>
      </w:r>
      <w:r>
        <w:rPr>
          <w:rFonts w:ascii="Times New Roman" w:hAnsi="Times New Roman"/>
          <w:kern w:val="0"/>
          <w:sz w:val="24"/>
          <w:lang w:val="zh-CN"/>
        </w:rPr>
        <w:t>年度</w:t>
      </w:r>
      <w:r>
        <w:rPr>
          <w:rFonts w:hint="eastAsia" w:ascii="Times New Roman" w:hAnsi="Times New Roman"/>
          <w:kern w:val="0"/>
          <w:sz w:val="24"/>
          <w:lang w:val="zh-CN"/>
        </w:rPr>
        <w:t>或202</w:t>
      </w:r>
      <w:r>
        <w:rPr>
          <w:rFonts w:hint="eastAsia" w:ascii="Times New Roman" w:hAnsi="Times New Roman"/>
          <w:kern w:val="0"/>
          <w:sz w:val="24"/>
          <w:lang w:val="en-US" w:eastAsia="zh-CN"/>
        </w:rPr>
        <w:t>1</w:t>
      </w:r>
      <w:r>
        <w:rPr>
          <w:rFonts w:hint="eastAsia" w:ascii="Times New Roman" w:hAnsi="Times New Roman"/>
          <w:kern w:val="0"/>
          <w:sz w:val="24"/>
          <w:lang w:val="zh-CN"/>
        </w:rPr>
        <w:t>年</w:t>
      </w:r>
      <w:r>
        <w:rPr>
          <w:rFonts w:ascii="Times New Roman" w:hAnsi="Times New Roman"/>
          <w:kern w:val="0"/>
          <w:sz w:val="24"/>
          <w:lang w:val="zh-CN"/>
        </w:rPr>
        <w:t>度的财务报告或银行资信证明。</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kern w:val="0"/>
          <w:sz w:val="24"/>
          <w:lang w:val="zh-CN"/>
        </w:rPr>
      </w:pPr>
      <w:r>
        <w:rPr>
          <w:rFonts w:ascii="Times New Roman" w:hAnsi="Times New Roman"/>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kern w:val="0"/>
          <w:sz w:val="24"/>
          <w:lang w:val="zh-CN"/>
        </w:rPr>
      </w:pPr>
      <w:r>
        <w:rPr>
          <w:rFonts w:ascii="Times New Roman" w:hAnsi="Times New Roman"/>
          <w:kern w:val="0"/>
          <w:sz w:val="24"/>
          <w:lang w:val="zh-CN"/>
        </w:rPr>
        <w:t>3、提供具有履行合同所必须的设备和专业技术能力的承诺书。</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kern w:val="0"/>
          <w:sz w:val="24"/>
          <w:lang w:val="zh-CN"/>
        </w:rPr>
      </w:pPr>
      <w:r>
        <w:rPr>
          <w:rFonts w:ascii="Times New Roman" w:hAnsi="Times New Roman"/>
          <w:kern w:val="0"/>
          <w:sz w:val="24"/>
          <w:lang w:val="zh-CN"/>
        </w:rPr>
        <w:t>4、提供开标日前任意一个月的缴纳税收和社保的银行缴款凭证或税务、社保部门出具的证明材料复印件。</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kern w:val="0"/>
          <w:sz w:val="24"/>
          <w:lang w:val="zh-CN"/>
        </w:rPr>
      </w:pPr>
      <w:r>
        <w:rPr>
          <w:rFonts w:ascii="Times New Roman" w:hAnsi="Times New Roman"/>
          <w:kern w:val="0"/>
          <w:sz w:val="24"/>
          <w:lang w:val="zh-CN"/>
        </w:rPr>
        <w:t>注：可提供承诺函</w:t>
      </w:r>
      <w:r>
        <w:rPr>
          <w:rFonts w:hint="eastAsia" w:ascii="Times New Roman" w:hAnsi="Times New Roman"/>
          <w:kern w:val="0"/>
          <w:sz w:val="24"/>
          <w:lang w:val="zh-CN"/>
        </w:rPr>
        <w:t>。</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kern w:val="0"/>
          <w:sz w:val="24"/>
          <w:lang w:val="zh-CN"/>
        </w:rPr>
      </w:pPr>
      <w:r>
        <w:rPr>
          <w:rFonts w:ascii="Times New Roman" w:hAnsi="Times New Roman"/>
          <w:kern w:val="0"/>
          <w:sz w:val="24"/>
          <w:lang w:val="zh-CN"/>
        </w:rPr>
        <w:t>5、提供参加本次比选采购活动前三年内，在经营活动中没有重大违法记录的承诺书。（公司成立不足三年的从成立之日起算）</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kern w:val="0"/>
          <w:sz w:val="24"/>
          <w:lang w:val="zh-CN"/>
        </w:rPr>
      </w:pPr>
      <w:r>
        <w:rPr>
          <w:rFonts w:ascii="Times New Roman" w:hAnsi="Times New Roman"/>
          <w:kern w:val="0"/>
          <w:sz w:val="24"/>
          <w:lang w:val="zh-CN"/>
        </w:rPr>
        <w:t>6、承诺与其他供应商之间，单位负责人不为同一人而且不存在直接控股、管理关系的承诺书；</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b/>
          <w:kern w:val="0"/>
          <w:sz w:val="24"/>
        </w:rPr>
      </w:pPr>
      <w:r>
        <w:rPr>
          <w:rFonts w:ascii="Times New Roman" w:hAnsi="Times New Roman"/>
          <w:kern w:val="0"/>
          <w:sz w:val="24"/>
          <w:lang w:val="zh-CN"/>
        </w:rPr>
        <w:t>7、法定代表人/单位负责人授权委托书（法定代表人/单位负责人或自然人直接参与投标的除外）。</w:t>
      </w:r>
    </w:p>
    <w:p>
      <w:pPr>
        <w:pageBreakBefore w:val="0"/>
        <w:kinsoku/>
        <w:wordWrap/>
        <w:overflowPunct/>
        <w:topLinePunct w:val="0"/>
        <w:bidi w:val="0"/>
        <w:snapToGrid/>
        <w:spacing w:line="400" w:lineRule="exact"/>
        <w:jc w:val="left"/>
        <w:textAlignment w:val="auto"/>
        <w:rPr>
          <w:rFonts w:ascii="Times New Roman" w:hAnsi="Times New Roman"/>
          <w:b/>
          <w:kern w:val="0"/>
          <w:sz w:val="24"/>
        </w:rPr>
      </w:pPr>
      <w:r>
        <w:rPr>
          <w:rFonts w:hint="eastAsia" w:ascii="Times New Roman" w:hAnsi="Times New Roman"/>
          <w:b/>
          <w:kern w:val="0"/>
          <w:sz w:val="24"/>
        </w:rPr>
        <w:t>二、响应文件格式</w:t>
      </w:r>
    </w:p>
    <w:p>
      <w:pPr>
        <w:pageBreakBefore w:val="0"/>
        <w:widowControl/>
        <w:kinsoku/>
        <w:wordWrap/>
        <w:overflowPunct/>
        <w:topLinePunct w:val="0"/>
        <w:bidi w:val="0"/>
        <w:snapToGrid/>
        <w:spacing w:line="400" w:lineRule="exact"/>
        <w:jc w:val="left"/>
        <w:textAlignment w:val="auto"/>
        <w:rPr>
          <w:rFonts w:ascii="Times New Roman" w:hAnsi="Times New Roman"/>
          <w:kern w:val="0"/>
          <w:sz w:val="24"/>
          <w:szCs w:val="20"/>
        </w:rPr>
      </w:pPr>
      <w:r>
        <w:rPr>
          <w:rFonts w:hint="eastAsia" w:ascii="Times New Roman" w:hAnsi="Times New Roman"/>
          <w:kern w:val="0"/>
          <w:sz w:val="24"/>
          <w:szCs w:val="20"/>
          <w:lang w:val="en-US" w:eastAsia="zh-CN"/>
        </w:rPr>
        <w:t>1、</w:t>
      </w:r>
      <w:r>
        <w:rPr>
          <w:rFonts w:ascii="Times New Roman" w:hAnsi="Times New Roman"/>
          <w:kern w:val="0"/>
          <w:sz w:val="24"/>
          <w:szCs w:val="20"/>
        </w:rPr>
        <w:t>本章所制响应文件格式，除格式中明确将该格式作为实质性要求的，一律不具有强制性，，比选申请人</w:t>
      </w:r>
      <w:r>
        <w:rPr>
          <w:rFonts w:ascii="Times New Roman" w:hAnsi="Times New Roman"/>
          <w:sz w:val="24"/>
        </w:rPr>
        <w:t>应根据比选文件要求及实际情况进行填写。</w:t>
      </w:r>
      <w:r>
        <w:rPr>
          <w:rFonts w:ascii="Times New Roman" w:hAnsi="Times New Roman"/>
          <w:kern w:val="0"/>
          <w:sz w:val="24"/>
          <w:szCs w:val="20"/>
        </w:rPr>
        <w:t>但是，比选申请人响应文件相关资料和本章所制格式不一致的，比选小组将在比选时以响应文件不规范予以比选申请人修正。</w:t>
      </w:r>
    </w:p>
    <w:p>
      <w:pPr>
        <w:pageBreakBefore w:val="0"/>
        <w:widowControl/>
        <w:kinsoku/>
        <w:wordWrap/>
        <w:overflowPunct/>
        <w:topLinePunct w:val="0"/>
        <w:bidi w:val="0"/>
        <w:snapToGrid/>
        <w:spacing w:line="400" w:lineRule="exact"/>
        <w:jc w:val="left"/>
        <w:textAlignment w:val="auto"/>
        <w:rPr>
          <w:rFonts w:ascii="Times New Roman" w:hAnsi="Times New Roman"/>
          <w:kern w:val="0"/>
          <w:sz w:val="24"/>
          <w:szCs w:val="20"/>
        </w:rPr>
      </w:pPr>
      <w:r>
        <w:rPr>
          <w:rFonts w:hint="eastAsia" w:ascii="Times New Roman" w:hAnsi="Times New Roman"/>
          <w:kern w:val="0"/>
          <w:sz w:val="24"/>
          <w:szCs w:val="20"/>
          <w:lang w:val="en-US" w:eastAsia="zh-CN"/>
        </w:rPr>
        <w:t>2、</w:t>
      </w:r>
      <w:r>
        <w:rPr>
          <w:rFonts w:ascii="Times New Roman" w:hAnsi="Times New Roman"/>
          <w:kern w:val="0"/>
          <w:sz w:val="24"/>
          <w:szCs w:val="20"/>
        </w:rPr>
        <w:t>本章所制响应文件格式有关表格中的备注栏，由比选申请人根据自身响应情况作解释性说明，不作为必填项。</w:t>
      </w:r>
    </w:p>
    <w:p>
      <w:pPr>
        <w:pageBreakBefore w:val="0"/>
        <w:widowControl/>
        <w:kinsoku/>
        <w:wordWrap/>
        <w:overflowPunct/>
        <w:topLinePunct w:val="0"/>
        <w:bidi w:val="0"/>
        <w:snapToGrid/>
        <w:spacing w:line="400" w:lineRule="exact"/>
        <w:jc w:val="left"/>
        <w:textAlignment w:val="auto"/>
        <w:rPr>
          <w:rFonts w:ascii="Times New Roman" w:hAnsi="Times New Roman"/>
          <w:kern w:val="0"/>
          <w:sz w:val="24"/>
          <w:szCs w:val="20"/>
        </w:rPr>
      </w:pPr>
      <w:r>
        <w:rPr>
          <w:rFonts w:hint="eastAsia" w:ascii="Times New Roman" w:hAnsi="Times New Roman"/>
          <w:kern w:val="0"/>
          <w:sz w:val="24"/>
          <w:szCs w:val="20"/>
          <w:lang w:val="en-US" w:eastAsia="zh-CN"/>
        </w:rPr>
        <w:t>3、</w:t>
      </w:r>
      <w:r>
        <w:rPr>
          <w:rFonts w:ascii="Times New Roman" w:hAnsi="Times New Roman"/>
          <w:kern w:val="0"/>
          <w:sz w:val="24"/>
          <w:szCs w:val="20"/>
        </w:rPr>
        <w:t>本章所制响应文件格式中需要填写的相关内容事项，可能会与本比选项目无关，在不改变响应文件原义、不影响本项目比选需求的情况下，比选申请人可以不予填写，但应当注明。</w:t>
      </w:r>
    </w:p>
    <w:p>
      <w:pPr>
        <w:widowControl/>
        <w:tabs>
          <w:tab w:val="left" w:pos="900"/>
        </w:tabs>
        <w:spacing w:line="360" w:lineRule="auto"/>
        <w:jc w:val="center"/>
        <w:rPr>
          <w:rFonts w:ascii="Times New Roman" w:hAnsi="Times New Roman"/>
          <w:b/>
          <w:kern w:val="0"/>
          <w:sz w:val="32"/>
          <w:szCs w:val="20"/>
        </w:rPr>
      </w:pPr>
      <w:r>
        <w:rPr>
          <w:rFonts w:ascii="Times New Roman" w:hAnsi="Times New Roman"/>
          <w:kern w:val="0"/>
          <w:sz w:val="24"/>
          <w:szCs w:val="20"/>
        </w:rPr>
        <w:br w:type="page"/>
      </w: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9" w:name="_Toc33709793"/>
      <w:bookmarkStart w:id="10" w:name="_Toc33698132"/>
      <w:bookmarkStart w:id="11" w:name="_Toc52036326"/>
      <w:bookmarkStart w:id="12" w:name="_Toc40447267"/>
      <w:bookmarkStart w:id="13" w:name="_Toc34051805"/>
      <w:r>
        <w:rPr>
          <w:rFonts w:ascii="Times New Roman" w:hAnsi="Times New Roman" w:eastAsia="黑体"/>
          <w:b/>
          <w:kern w:val="0"/>
          <w:sz w:val="32"/>
          <w:szCs w:val="32"/>
        </w:rPr>
        <w:t>一、封面</w:t>
      </w:r>
      <w:bookmarkEnd w:id="9"/>
      <w:bookmarkEnd w:id="10"/>
      <w:bookmarkEnd w:id="11"/>
      <w:bookmarkEnd w:id="12"/>
      <w:bookmarkEnd w:id="13"/>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4" w:name="_Toc52036327"/>
      <w:bookmarkStart w:id="15" w:name="_Toc40447268"/>
      <w:bookmarkStart w:id="16" w:name="_Toc34051806"/>
      <w:bookmarkStart w:id="17" w:name="_Toc33709794"/>
      <w:bookmarkStart w:id="18" w:name="_Toc33698133"/>
      <w:r>
        <w:rPr>
          <w:rFonts w:ascii="Times New Roman" w:hAnsi="Times New Roman" w:eastAsia="黑体"/>
          <w:b/>
          <w:kern w:val="0"/>
          <w:sz w:val="32"/>
          <w:szCs w:val="32"/>
        </w:rPr>
        <w:t>二、法定代表人/单位负责人授权书</w:t>
      </w:r>
      <w:bookmarkEnd w:id="14"/>
      <w:bookmarkEnd w:id="15"/>
      <w:bookmarkEnd w:id="16"/>
      <w:bookmarkEnd w:id="17"/>
      <w:bookmarkEnd w:id="18"/>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156" w:beforeLines="50" w:after="156"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156" w:beforeLines="50" w:after="156"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156" w:beforeLines="50" w:after="156"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156" w:beforeLines="50" w:after="156"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19" w:name="_Toc33698134"/>
      <w:bookmarkStart w:id="20" w:name="_Toc34051807"/>
      <w:bookmarkStart w:id="21" w:name="_Toc33709795"/>
      <w:bookmarkStart w:id="22" w:name="_Toc40447269"/>
      <w:bookmarkStart w:id="23" w:name="_Toc52036328"/>
      <w:r>
        <w:rPr>
          <w:rFonts w:ascii="Times New Roman" w:hAnsi="Times New Roman" w:eastAsia="黑体"/>
          <w:b/>
          <w:kern w:val="0"/>
          <w:sz w:val="32"/>
          <w:szCs w:val="32"/>
        </w:rPr>
        <w:t>三、承诺函</w:t>
      </w:r>
      <w:bookmarkEnd w:id="19"/>
      <w:bookmarkEnd w:id="20"/>
      <w:bookmarkEnd w:id="21"/>
      <w:bookmarkEnd w:id="22"/>
      <w:bookmarkEnd w:id="23"/>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4" w:name="_Toc52036329"/>
      <w:bookmarkStart w:id="25" w:name="_Toc34051808"/>
      <w:bookmarkStart w:id="26" w:name="_Toc40447270"/>
      <w:bookmarkStart w:id="27" w:name="_Toc33698135"/>
      <w:bookmarkStart w:id="28" w:name="_Toc33709796"/>
      <w:r>
        <w:rPr>
          <w:rFonts w:ascii="Times New Roman" w:hAnsi="Times New Roman" w:eastAsia="黑体"/>
          <w:b/>
          <w:kern w:val="0"/>
          <w:sz w:val="32"/>
          <w:szCs w:val="32"/>
        </w:rPr>
        <w:t>四、比选申请人、报价产品资格、资质性及其他类似效力要求的相关证明材料</w:t>
      </w:r>
      <w:bookmarkEnd w:id="24"/>
      <w:bookmarkEnd w:id="25"/>
      <w:bookmarkEnd w:id="26"/>
      <w:bookmarkEnd w:id="27"/>
      <w:bookmarkEnd w:id="28"/>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29" w:name="_Toc307564880"/>
      <w:bookmarkStart w:id="30" w:name="_Toc436410129"/>
      <w:bookmarkStart w:id="31" w:name="_Toc436385992"/>
      <w:bookmarkStart w:id="32" w:name="_Toc436820890"/>
      <w:bookmarkStart w:id="33" w:name="_Toc436404120"/>
      <w:r>
        <w:rPr>
          <w:rFonts w:ascii="Times New Roman" w:hAnsi="Times New Roman"/>
          <w:kern w:val="0"/>
          <w:sz w:val="24"/>
          <w:szCs w:val="20"/>
        </w:rPr>
        <w:br w:type="page"/>
      </w:r>
      <w:bookmarkEnd w:id="29"/>
      <w:bookmarkEnd w:id="30"/>
      <w:bookmarkEnd w:id="31"/>
      <w:bookmarkEnd w:id="32"/>
      <w:bookmarkEnd w:id="33"/>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4" w:name="_Toc503986415"/>
      <w:bookmarkStart w:id="35" w:name="_Toc503986838"/>
      <w:bookmarkStart w:id="36" w:name="_Toc503987104"/>
      <w:bookmarkStart w:id="37" w:name="_Toc503987293"/>
      <w:bookmarkStart w:id="38" w:name="_Toc503986971"/>
      <w:bookmarkStart w:id="39" w:name="_Toc503987183"/>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40" w:name="_Toc33698136"/>
      <w:bookmarkStart w:id="41" w:name="_Toc33709797"/>
      <w:bookmarkStart w:id="42" w:name="_Toc40447271"/>
      <w:bookmarkStart w:id="43" w:name="_Toc34051809"/>
      <w:bookmarkStart w:id="44" w:name="_Toc52036330"/>
      <w:r>
        <w:rPr>
          <w:rFonts w:ascii="Times New Roman" w:hAnsi="Times New Roman" w:eastAsia="黑体"/>
          <w:b/>
          <w:kern w:val="0"/>
          <w:sz w:val="32"/>
          <w:szCs w:val="32"/>
        </w:rPr>
        <w:t>八、满足实质性要求承诺函</w:t>
      </w:r>
      <w:bookmarkEnd w:id="34"/>
      <w:bookmarkEnd w:id="35"/>
      <w:bookmarkEnd w:id="36"/>
      <w:bookmarkEnd w:id="37"/>
      <w:bookmarkEnd w:id="38"/>
      <w:bookmarkEnd w:id="39"/>
      <w:bookmarkEnd w:id="40"/>
      <w:bookmarkEnd w:id="41"/>
      <w:bookmarkEnd w:id="42"/>
      <w:bookmarkEnd w:id="43"/>
      <w:bookmarkEnd w:id="44"/>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法定代表人/单位负责人或授权代表</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kern w:val="0"/>
          <w:sz w:val="24"/>
          <w:szCs w:val="20"/>
        </w:rPr>
        <w:t>日期：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5" w:name="_Toc34051810"/>
      <w:bookmarkStart w:id="46" w:name="_Toc33709798"/>
      <w:bookmarkStart w:id="47" w:name="_Toc40447272"/>
      <w:bookmarkStart w:id="48" w:name="_Toc33698137"/>
      <w:bookmarkStart w:id="49" w:name="_Toc52036331"/>
      <w:r>
        <w:rPr>
          <w:rFonts w:ascii="Times New Roman" w:hAnsi="Times New Roman" w:eastAsia="黑体"/>
          <w:b/>
          <w:kern w:val="0"/>
          <w:sz w:val="32"/>
          <w:szCs w:val="32"/>
        </w:rPr>
        <w:t>九、知识产权承诺函</w:t>
      </w:r>
      <w:bookmarkEnd w:id="45"/>
      <w:bookmarkEnd w:id="46"/>
      <w:bookmarkEnd w:id="47"/>
      <w:bookmarkEnd w:id="48"/>
      <w:bookmarkEnd w:id="49"/>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法定代表人/单位负责人或授权代表</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kern w:val="0"/>
          <w:sz w:val="24"/>
          <w:szCs w:val="20"/>
        </w:rPr>
        <w:t>日期：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707"/>
        <w:gridCol w:w="1340"/>
        <w:gridCol w:w="672"/>
        <w:gridCol w:w="1173"/>
        <w:gridCol w:w="1173"/>
        <w:gridCol w:w="1115"/>
        <w:gridCol w:w="17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6"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8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8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1033"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0" w:type="pct"/>
            <w:vAlign w:val="center"/>
          </w:tcPr>
          <w:p>
            <w:pPr>
              <w:spacing w:line="360" w:lineRule="auto"/>
              <w:ind w:left="-105" w:leftChars="-50" w:right="-105" w:rightChars="-50"/>
              <w:jc w:val="center"/>
              <w:rPr>
                <w:rFonts w:ascii="Times New Roman" w:hAnsi="Times New Roman"/>
                <w:sz w:val="24"/>
              </w:rPr>
            </w:pPr>
          </w:p>
        </w:tc>
        <w:tc>
          <w:tcPr>
            <w:tcW w:w="415" w:type="pct"/>
            <w:vAlign w:val="center"/>
          </w:tcPr>
          <w:p>
            <w:pPr>
              <w:spacing w:line="360" w:lineRule="auto"/>
              <w:ind w:left="-105" w:leftChars="-50" w:right="-105" w:rightChars="-50"/>
              <w:jc w:val="center"/>
              <w:rPr>
                <w:rFonts w:ascii="Times New Roman" w:hAnsi="Times New Roman"/>
                <w:sz w:val="24"/>
              </w:rPr>
            </w:pPr>
          </w:p>
        </w:tc>
        <w:tc>
          <w:tcPr>
            <w:tcW w:w="786"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88" w:type="pct"/>
            <w:vAlign w:val="center"/>
          </w:tcPr>
          <w:p>
            <w:pPr>
              <w:spacing w:line="360" w:lineRule="auto"/>
              <w:ind w:left="-105" w:leftChars="-50" w:right="-105" w:rightChars="-50"/>
              <w:jc w:val="center"/>
              <w:rPr>
                <w:rFonts w:ascii="Times New Roman" w:hAnsi="Times New Roman"/>
                <w:sz w:val="24"/>
              </w:rPr>
            </w:pPr>
          </w:p>
        </w:tc>
        <w:tc>
          <w:tcPr>
            <w:tcW w:w="688" w:type="pct"/>
            <w:vAlign w:val="center"/>
          </w:tcPr>
          <w:p>
            <w:pPr>
              <w:spacing w:line="360" w:lineRule="auto"/>
              <w:ind w:left="-105" w:leftChars="-50" w:right="-105" w:rightChars="-50"/>
              <w:jc w:val="center"/>
              <w:rPr>
                <w:rFonts w:ascii="Times New Roman" w:hAnsi="Times New Roman"/>
                <w:sz w:val="24"/>
              </w:rPr>
            </w:pPr>
          </w:p>
        </w:tc>
        <w:tc>
          <w:tcPr>
            <w:tcW w:w="654" w:type="pct"/>
            <w:vAlign w:val="center"/>
          </w:tcPr>
          <w:p>
            <w:pPr>
              <w:spacing w:line="360" w:lineRule="auto"/>
              <w:ind w:left="-105" w:leftChars="-50" w:right="-105" w:rightChars="-50"/>
              <w:jc w:val="center"/>
              <w:rPr>
                <w:rFonts w:ascii="Times New Roman" w:hAnsi="Times New Roman"/>
                <w:sz w:val="24"/>
              </w:rPr>
            </w:pPr>
          </w:p>
        </w:tc>
        <w:tc>
          <w:tcPr>
            <w:tcW w:w="1033"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0" w:type="pct"/>
            <w:vAlign w:val="center"/>
          </w:tcPr>
          <w:p>
            <w:pPr>
              <w:spacing w:line="360" w:lineRule="auto"/>
              <w:ind w:left="-105" w:leftChars="-50" w:right="-105" w:rightChars="-50"/>
              <w:jc w:val="center"/>
              <w:rPr>
                <w:rFonts w:ascii="Times New Roman" w:hAnsi="Times New Roman"/>
                <w:sz w:val="24"/>
              </w:rPr>
            </w:pPr>
          </w:p>
        </w:tc>
        <w:tc>
          <w:tcPr>
            <w:tcW w:w="415" w:type="pct"/>
            <w:vAlign w:val="center"/>
          </w:tcPr>
          <w:p>
            <w:pPr>
              <w:spacing w:line="360" w:lineRule="auto"/>
              <w:ind w:left="-105" w:leftChars="-50" w:right="-105" w:rightChars="-50"/>
              <w:jc w:val="center"/>
              <w:rPr>
                <w:rFonts w:ascii="Times New Roman" w:hAnsi="Times New Roman"/>
                <w:sz w:val="24"/>
              </w:rPr>
            </w:pPr>
          </w:p>
        </w:tc>
        <w:tc>
          <w:tcPr>
            <w:tcW w:w="786"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88" w:type="pct"/>
            <w:vAlign w:val="center"/>
          </w:tcPr>
          <w:p>
            <w:pPr>
              <w:spacing w:line="360" w:lineRule="auto"/>
              <w:ind w:left="-105" w:leftChars="-50" w:right="-105" w:rightChars="-50"/>
              <w:jc w:val="center"/>
              <w:rPr>
                <w:rFonts w:ascii="Times New Roman" w:hAnsi="Times New Roman"/>
                <w:sz w:val="24"/>
              </w:rPr>
            </w:pPr>
          </w:p>
        </w:tc>
        <w:tc>
          <w:tcPr>
            <w:tcW w:w="688" w:type="pct"/>
            <w:vAlign w:val="center"/>
          </w:tcPr>
          <w:p>
            <w:pPr>
              <w:spacing w:line="360" w:lineRule="auto"/>
              <w:ind w:left="-105" w:leftChars="-50" w:right="-105" w:rightChars="-50"/>
              <w:jc w:val="center"/>
              <w:rPr>
                <w:rFonts w:ascii="Times New Roman" w:hAnsi="Times New Roman"/>
                <w:sz w:val="24"/>
              </w:rPr>
            </w:pPr>
          </w:p>
        </w:tc>
        <w:tc>
          <w:tcPr>
            <w:tcW w:w="654" w:type="pct"/>
            <w:vAlign w:val="center"/>
          </w:tcPr>
          <w:p>
            <w:pPr>
              <w:spacing w:line="360" w:lineRule="auto"/>
              <w:ind w:left="-105" w:leftChars="-50" w:right="-105" w:rightChars="-50"/>
              <w:jc w:val="center"/>
              <w:rPr>
                <w:rFonts w:ascii="Times New Roman" w:hAnsi="Times New Roman"/>
                <w:sz w:val="24"/>
              </w:rPr>
            </w:pPr>
          </w:p>
        </w:tc>
        <w:tc>
          <w:tcPr>
            <w:tcW w:w="1033"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0" w:type="pct"/>
            <w:vAlign w:val="center"/>
          </w:tcPr>
          <w:p>
            <w:pPr>
              <w:spacing w:line="360" w:lineRule="auto"/>
              <w:ind w:left="-105" w:leftChars="-50" w:right="-105" w:rightChars="-50"/>
              <w:jc w:val="center"/>
              <w:rPr>
                <w:rFonts w:ascii="Times New Roman" w:hAnsi="Times New Roman"/>
                <w:sz w:val="24"/>
              </w:rPr>
            </w:pPr>
          </w:p>
        </w:tc>
        <w:tc>
          <w:tcPr>
            <w:tcW w:w="415" w:type="pct"/>
            <w:vAlign w:val="center"/>
          </w:tcPr>
          <w:p>
            <w:pPr>
              <w:spacing w:line="360" w:lineRule="auto"/>
              <w:ind w:left="-105" w:leftChars="-50" w:right="-105" w:rightChars="-50"/>
              <w:jc w:val="center"/>
              <w:rPr>
                <w:rFonts w:ascii="Times New Roman" w:hAnsi="Times New Roman"/>
                <w:sz w:val="24"/>
              </w:rPr>
            </w:pPr>
          </w:p>
        </w:tc>
        <w:tc>
          <w:tcPr>
            <w:tcW w:w="786"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88" w:type="pct"/>
            <w:vAlign w:val="center"/>
          </w:tcPr>
          <w:p>
            <w:pPr>
              <w:spacing w:line="360" w:lineRule="auto"/>
              <w:ind w:left="-105" w:leftChars="-50" w:right="-105" w:rightChars="-50"/>
              <w:jc w:val="center"/>
              <w:rPr>
                <w:rFonts w:ascii="Times New Roman" w:hAnsi="Times New Roman"/>
                <w:sz w:val="24"/>
              </w:rPr>
            </w:pPr>
          </w:p>
        </w:tc>
        <w:tc>
          <w:tcPr>
            <w:tcW w:w="688" w:type="pct"/>
            <w:vAlign w:val="center"/>
          </w:tcPr>
          <w:p>
            <w:pPr>
              <w:spacing w:line="360" w:lineRule="auto"/>
              <w:ind w:left="-105" w:leftChars="-50" w:right="-105" w:rightChars="-50"/>
              <w:jc w:val="center"/>
              <w:rPr>
                <w:rFonts w:ascii="Times New Roman" w:hAnsi="Times New Roman"/>
                <w:sz w:val="24"/>
              </w:rPr>
            </w:pPr>
          </w:p>
        </w:tc>
        <w:tc>
          <w:tcPr>
            <w:tcW w:w="654" w:type="pct"/>
            <w:vAlign w:val="center"/>
          </w:tcPr>
          <w:p>
            <w:pPr>
              <w:spacing w:line="360" w:lineRule="auto"/>
              <w:ind w:left="-105" w:leftChars="-50" w:right="-105" w:rightChars="-50"/>
              <w:jc w:val="center"/>
              <w:rPr>
                <w:rFonts w:ascii="Times New Roman" w:hAnsi="Times New Roman"/>
                <w:sz w:val="24"/>
              </w:rPr>
            </w:pPr>
          </w:p>
        </w:tc>
        <w:tc>
          <w:tcPr>
            <w:tcW w:w="1033"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8"/>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1、报价说明：</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pPr>
        <w:spacing w:line="360" w:lineRule="auto"/>
        <w:ind w:left="846" w:leftChars="202" w:hanging="422" w:hangingChars="176"/>
        <w:rPr>
          <w:rFonts w:ascii="Times New Roman" w:hAnsi="Times New Roman"/>
          <w:sz w:val="24"/>
        </w:rPr>
      </w:pPr>
      <w:r>
        <w:rPr>
          <w:rFonts w:ascii="Times New Roman" w:hAnsi="Times New Roman"/>
          <w:sz w:val="24"/>
        </w:rPr>
        <w:t>2、供应商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法定代表人/单位负责人或授权代表</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pPr>
        <w:rPr>
          <w:rFonts w:ascii="Times New Roman" w:hAnsi="Times New Roman"/>
          <w:b/>
          <w:sz w:val="24"/>
        </w:rPr>
      </w:pPr>
      <w:r>
        <w:rPr>
          <w:rFonts w:ascii="Times New Roman" w:hAnsi="Times New Roman"/>
          <w:sz w:val="24"/>
        </w:rPr>
        <w:br w:type="page"/>
      </w:r>
      <w:r>
        <w:rPr>
          <w:rFonts w:ascii="Times New Roman" w:hAnsi="Times New Roman"/>
          <w:b/>
          <w:sz w:val="24"/>
        </w:rPr>
        <w:t>格式2-1</w:t>
      </w:r>
      <w:r>
        <w:rPr>
          <w:rFonts w:hint="eastAsia" w:ascii="Times New Roman" w:hAnsi="Times New Roman"/>
          <w:b/>
          <w:sz w:val="24"/>
        </w:rPr>
        <w:t>1</w:t>
      </w:r>
    </w:p>
    <w:p>
      <w:pPr>
        <w:spacing w:line="360" w:lineRule="auto"/>
        <w:rPr>
          <w:rFonts w:ascii="Times New Roman" w:hAnsi="Times New Roman"/>
          <w:sz w:val="24"/>
        </w:rPr>
      </w:pPr>
    </w:p>
    <w:p>
      <w:pPr>
        <w:spacing w:line="360" w:lineRule="auto"/>
        <w:jc w:val="center"/>
        <w:outlineLvl w:val="1"/>
        <w:rPr>
          <w:rFonts w:ascii="Times New Roman" w:hAnsi="Times New Roman" w:eastAsia="黑体"/>
          <w:b/>
          <w:sz w:val="32"/>
          <w:szCs w:val="32"/>
        </w:rPr>
      </w:pPr>
      <w:bookmarkStart w:id="50" w:name="_Toc52036333"/>
      <w:r>
        <w:rPr>
          <w:rFonts w:hint="eastAsia" w:ascii="Times New Roman" w:hAnsi="Times New Roman" w:eastAsia="黑体"/>
          <w:b/>
          <w:sz w:val="32"/>
          <w:szCs w:val="32"/>
        </w:rPr>
        <w:t>十一</w:t>
      </w:r>
      <w:r>
        <w:rPr>
          <w:rFonts w:ascii="Times New Roman" w:hAnsi="Times New Roman" w:eastAsia="黑体"/>
          <w:b/>
          <w:sz w:val="32"/>
          <w:szCs w:val="32"/>
        </w:rPr>
        <w:t>、分项报价明细表</w:t>
      </w:r>
      <w:bookmarkEnd w:id="50"/>
    </w:p>
    <w:p>
      <w:pPr>
        <w:spacing w:line="360" w:lineRule="auto"/>
        <w:rPr>
          <w:rFonts w:ascii="Times New Roman" w:hAnsi="Times New Roman"/>
          <w:b/>
          <w:bCs/>
          <w:sz w:val="24"/>
        </w:rPr>
      </w:pPr>
    </w:p>
    <w:p>
      <w:pPr>
        <w:spacing w:line="360" w:lineRule="auto"/>
        <w:rPr>
          <w:rFonts w:ascii="Times New Roman" w:hAnsi="Times New Roman"/>
          <w:b/>
          <w:bCs/>
          <w:sz w:val="24"/>
        </w:rPr>
      </w:pPr>
      <w:r>
        <w:rPr>
          <w:rFonts w:ascii="Times New Roman" w:hAnsi="Times New Roman"/>
          <w:b/>
          <w:bCs/>
          <w:sz w:val="24"/>
        </w:rPr>
        <w:t>项目名称：</w:t>
      </w:r>
      <w:r>
        <w:rPr>
          <w:rFonts w:ascii="Times New Roman" w:hAnsi="Times New Roman" w:eastAsia="新宋体"/>
          <w:b/>
          <w:bCs/>
          <w:sz w:val="24"/>
          <w:u w:val="single"/>
        </w:rPr>
        <w:t xml:space="preserve">                                        </w:t>
      </w:r>
    </w:p>
    <w:tbl>
      <w:tblPr>
        <w:tblStyle w:val="2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80"/>
        <w:gridCol w:w="1134"/>
        <w:gridCol w:w="1418"/>
        <w:gridCol w:w="1276"/>
        <w:gridCol w:w="1559"/>
        <w:gridCol w:w="1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29" w:type="dxa"/>
            <w:vAlign w:val="center"/>
          </w:tcPr>
          <w:p>
            <w:pPr>
              <w:spacing w:before="156" w:beforeLines="50" w:after="156" w:afterLines="50"/>
              <w:ind w:left="-105" w:leftChars="-50" w:right="-105" w:rightChars="-50"/>
              <w:jc w:val="center"/>
              <w:rPr>
                <w:rFonts w:ascii="Times New Roman" w:hAnsi="Times New Roman"/>
                <w:b/>
                <w:sz w:val="24"/>
              </w:rPr>
            </w:pPr>
            <w:r>
              <w:rPr>
                <w:rFonts w:ascii="Times New Roman" w:hAnsi="Times New Roman"/>
                <w:b/>
                <w:sz w:val="24"/>
              </w:rPr>
              <w:t>序号</w:t>
            </w:r>
          </w:p>
        </w:tc>
        <w:tc>
          <w:tcPr>
            <w:tcW w:w="1080" w:type="dxa"/>
            <w:vAlign w:val="center"/>
          </w:tcPr>
          <w:p>
            <w:pPr>
              <w:spacing w:before="156" w:beforeLines="50" w:after="156" w:afterLines="50"/>
              <w:ind w:left="-105" w:leftChars="-50" w:right="-105" w:rightChars="-50"/>
              <w:jc w:val="center"/>
              <w:rPr>
                <w:rFonts w:ascii="Times New Roman" w:hAnsi="Times New Roman"/>
                <w:b/>
                <w:sz w:val="24"/>
              </w:rPr>
            </w:pPr>
            <w:r>
              <w:rPr>
                <w:rFonts w:ascii="Times New Roman" w:hAnsi="Times New Roman"/>
                <w:b/>
                <w:sz w:val="24"/>
              </w:rPr>
              <w:t>设备名称</w:t>
            </w:r>
          </w:p>
        </w:tc>
        <w:tc>
          <w:tcPr>
            <w:tcW w:w="1134" w:type="dxa"/>
            <w:vAlign w:val="center"/>
          </w:tcPr>
          <w:p>
            <w:pPr>
              <w:spacing w:before="156" w:beforeLines="50" w:after="156" w:afterLines="50"/>
              <w:ind w:left="-105" w:leftChars="-50" w:right="-105" w:rightChars="-50"/>
              <w:jc w:val="center"/>
              <w:rPr>
                <w:rFonts w:ascii="Times New Roman" w:hAnsi="Times New Roman"/>
                <w:b/>
                <w:sz w:val="24"/>
              </w:rPr>
            </w:pPr>
            <w:r>
              <w:rPr>
                <w:rFonts w:ascii="Times New Roman" w:hAnsi="Times New Roman"/>
                <w:b/>
                <w:sz w:val="24"/>
              </w:rPr>
              <w:t>数量</w:t>
            </w:r>
          </w:p>
        </w:tc>
        <w:tc>
          <w:tcPr>
            <w:tcW w:w="1418" w:type="dxa"/>
            <w:vAlign w:val="center"/>
          </w:tcPr>
          <w:p>
            <w:pPr>
              <w:spacing w:before="156" w:beforeLines="50" w:after="156" w:afterLines="50"/>
              <w:ind w:left="-105" w:leftChars="-50" w:right="-105" w:rightChars="-50"/>
              <w:jc w:val="center"/>
              <w:rPr>
                <w:rFonts w:ascii="Times New Roman" w:hAnsi="Times New Roman"/>
                <w:b/>
                <w:sz w:val="24"/>
              </w:rPr>
            </w:pPr>
            <w:r>
              <w:rPr>
                <w:rFonts w:ascii="Times New Roman" w:hAnsi="Times New Roman"/>
                <w:b/>
                <w:sz w:val="24"/>
              </w:rPr>
              <w:t>单价</w:t>
            </w:r>
          </w:p>
        </w:tc>
        <w:tc>
          <w:tcPr>
            <w:tcW w:w="1276" w:type="dxa"/>
            <w:vAlign w:val="center"/>
          </w:tcPr>
          <w:p>
            <w:pPr>
              <w:spacing w:before="156" w:beforeLines="50" w:after="156" w:afterLines="50"/>
              <w:ind w:left="-105" w:leftChars="-50" w:right="-105" w:rightChars="-50"/>
              <w:jc w:val="center"/>
              <w:rPr>
                <w:rFonts w:ascii="Times New Roman" w:hAnsi="Times New Roman"/>
                <w:b/>
                <w:sz w:val="24"/>
              </w:rPr>
            </w:pPr>
            <w:r>
              <w:rPr>
                <w:rFonts w:ascii="Times New Roman" w:hAnsi="Times New Roman"/>
                <w:b/>
                <w:sz w:val="24"/>
              </w:rPr>
              <w:t>规格型号</w:t>
            </w:r>
          </w:p>
        </w:tc>
        <w:tc>
          <w:tcPr>
            <w:tcW w:w="1559" w:type="dxa"/>
            <w:vAlign w:val="center"/>
          </w:tcPr>
          <w:p>
            <w:pPr>
              <w:spacing w:before="156" w:beforeLines="50" w:after="156" w:afterLines="50"/>
              <w:ind w:left="-105" w:leftChars="-50" w:right="-105" w:rightChars="-50"/>
              <w:jc w:val="center"/>
              <w:rPr>
                <w:rFonts w:ascii="Times New Roman" w:hAnsi="Times New Roman"/>
                <w:b/>
                <w:sz w:val="24"/>
              </w:rPr>
            </w:pPr>
            <w:r>
              <w:rPr>
                <w:rFonts w:ascii="Times New Roman" w:hAnsi="Times New Roman"/>
                <w:b/>
                <w:sz w:val="24"/>
              </w:rPr>
              <w:t>总价（</w:t>
            </w:r>
            <w:r>
              <w:rPr>
                <w:rFonts w:hint="eastAsia" w:ascii="Times New Roman" w:hAnsi="Times New Roman"/>
                <w:b/>
                <w:sz w:val="24"/>
              </w:rPr>
              <w:t>万</w:t>
            </w:r>
            <w:r>
              <w:rPr>
                <w:rFonts w:ascii="Times New Roman" w:hAnsi="Times New Roman"/>
                <w:b/>
                <w:sz w:val="24"/>
              </w:rPr>
              <w:t>元）</w:t>
            </w:r>
          </w:p>
        </w:tc>
        <w:tc>
          <w:tcPr>
            <w:tcW w:w="1326" w:type="dxa"/>
            <w:vAlign w:val="center"/>
          </w:tcPr>
          <w:p>
            <w:pPr>
              <w:spacing w:before="156" w:beforeLines="50" w:after="156" w:afterLines="50"/>
              <w:ind w:left="-105" w:leftChars="-50" w:right="-105" w:rightChars="-50"/>
              <w:jc w:val="center"/>
              <w:rPr>
                <w:rFonts w:ascii="Times New Roman" w:hAnsi="Times New Roman"/>
                <w:b/>
                <w:sz w:val="24"/>
              </w:rPr>
            </w:pPr>
            <w:r>
              <w:rPr>
                <w:rFonts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156" w:beforeLines="50" w:after="156" w:afterLines="50"/>
              <w:ind w:left="-105" w:leftChars="-50" w:right="-105" w:rightChars="-50"/>
              <w:jc w:val="center"/>
              <w:rPr>
                <w:rFonts w:ascii="Times New Roman" w:hAnsi="Times New Roman"/>
                <w:sz w:val="24"/>
              </w:rPr>
            </w:pPr>
            <w:r>
              <w:rPr>
                <w:rFonts w:ascii="Times New Roman" w:hAnsi="Times New Roman"/>
                <w:sz w:val="24"/>
              </w:rPr>
              <w:t>1</w:t>
            </w:r>
          </w:p>
        </w:tc>
        <w:tc>
          <w:tcPr>
            <w:tcW w:w="1080" w:type="dxa"/>
            <w:vAlign w:val="center"/>
          </w:tcPr>
          <w:p>
            <w:pPr>
              <w:spacing w:before="156" w:beforeLines="50" w:after="156" w:afterLines="50"/>
              <w:ind w:left="-105" w:leftChars="-50" w:right="-105" w:rightChars="-50"/>
              <w:jc w:val="center"/>
              <w:rPr>
                <w:rFonts w:ascii="Times New Roman" w:hAnsi="Times New Roman"/>
                <w:sz w:val="24"/>
              </w:rPr>
            </w:pPr>
          </w:p>
        </w:tc>
        <w:tc>
          <w:tcPr>
            <w:tcW w:w="1134" w:type="dxa"/>
            <w:vAlign w:val="center"/>
          </w:tcPr>
          <w:p>
            <w:pPr>
              <w:spacing w:before="156" w:beforeLines="50" w:after="156" w:afterLines="50"/>
              <w:ind w:left="-105" w:leftChars="-50" w:right="-105" w:rightChars="-50"/>
              <w:jc w:val="center"/>
              <w:rPr>
                <w:rFonts w:ascii="Times New Roman" w:hAnsi="Times New Roman"/>
                <w:sz w:val="24"/>
              </w:rPr>
            </w:pPr>
          </w:p>
        </w:tc>
        <w:tc>
          <w:tcPr>
            <w:tcW w:w="1418" w:type="dxa"/>
            <w:vAlign w:val="center"/>
          </w:tcPr>
          <w:p>
            <w:pPr>
              <w:spacing w:before="156" w:beforeLines="50" w:after="156" w:afterLines="50"/>
              <w:ind w:left="-105" w:leftChars="-50" w:right="-105" w:rightChars="-50"/>
              <w:jc w:val="center"/>
              <w:rPr>
                <w:rFonts w:ascii="Times New Roman" w:hAnsi="Times New Roman"/>
                <w:sz w:val="24"/>
              </w:rPr>
            </w:pPr>
          </w:p>
        </w:tc>
        <w:tc>
          <w:tcPr>
            <w:tcW w:w="1276" w:type="dxa"/>
            <w:vAlign w:val="center"/>
          </w:tcPr>
          <w:p>
            <w:pPr>
              <w:spacing w:before="156" w:beforeLines="50" w:after="156" w:afterLines="50"/>
              <w:ind w:left="-105" w:leftChars="-50" w:right="-105" w:rightChars="-50"/>
              <w:jc w:val="center"/>
              <w:rPr>
                <w:rFonts w:ascii="Times New Roman" w:hAnsi="Times New Roman"/>
                <w:sz w:val="24"/>
              </w:rPr>
            </w:pPr>
          </w:p>
        </w:tc>
        <w:tc>
          <w:tcPr>
            <w:tcW w:w="1559" w:type="dxa"/>
            <w:vAlign w:val="center"/>
          </w:tcPr>
          <w:p>
            <w:pPr>
              <w:spacing w:before="156" w:beforeLines="50" w:after="156" w:afterLines="50"/>
              <w:ind w:left="-105" w:leftChars="-50" w:right="-105" w:rightChars="-50"/>
              <w:jc w:val="center"/>
              <w:rPr>
                <w:rFonts w:ascii="Times New Roman" w:hAnsi="Times New Roman"/>
                <w:sz w:val="24"/>
              </w:rPr>
            </w:pPr>
          </w:p>
        </w:tc>
        <w:tc>
          <w:tcPr>
            <w:tcW w:w="1326" w:type="dxa"/>
            <w:vAlign w:val="center"/>
          </w:tcPr>
          <w:p>
            <w:pPr>
              <w:spacing w:before="156" w:beforeLines="50" w:after="156"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156" w:beforeLines="50" w:after="156" w:afterLines="50"/>
              <w:ind w:left="-105" w:leftChars="-50" w:right="-105" w:rightChars="-50"/>
              <w:jc w:val="center"/>
              <w:rPr>
                <w:rFonts w:ascii="Times New Roman" w:hAnsi="Times New Roman"/>
                <w:sz w:val="24"/>
              </w:rPr>
            </w:pPr>
            <w:r>
              <w:rPr>
                <w:rFonts w:ascii="Times New Roman" w:hAnsi="Times New Roman"/>
                <w:sz w:val="24"/>
              </w:rPr>
              <w:t>2</w:t>
            </w:r>
          </w:p>
        </w:tc>
        <w:tc>
          <w:tcPr>
            <w:tcW w:w="1080" w:type="dxa"/>
            <w:vAlign w:val="center"/>
          </w:tcPr>
          <w:p>
            <w:pPr>
              <w:spacing w:before="156" w:beforeLines="50" w:after="156" w:afterLines="50"/>
              <w:ind w:left="-105" w:leftChars="-50" w:right="-105" w:rightChars="-50"/>
              <w:jc w:val="center"/>
              <w:rPr>
                <w:rFonts w:ascii="Times New Roman" w:hAnsi="Times New Roman"/>
                <w:sz w:val="24"/>
              </w:rPr>
            </w:pPr>
          </w:p>
        </w:tc>
        <w:tc>
          <w:tcPr>
            <w:tcW w:w="1134" w:type="dxa"/>
            <w:vAlign w:val="center"/>
          </w:tcPr>
          <w:p>
            <w:pPr>
              <w:spacing w:before="156" w:beforeLines="50" w:after="156" w:afterLines="50"/>
              <w:ind w:left="-105" w:leftChars="-50" w:right="-105" w:rightChars="-50"/>
              <w:jc w:val="center"/>
              <w:rPr>
                <w:rFonts w:ascii="Times New Roman" w:hAnsi="Times New Roman"/>
                <w:sz w:val="24"/>
              </w:rPr>
            </w:pPr>
          </w:p>
        </w:tc>
        <w:tc>
          <w:tcPr>
            <w:tcW w:w="1418" w:type="dxa"/>
            <w:vAlign w:val="center"/>
          </w:tcPr>
          <w:p>
            <w:pPr>
              <w:spacing w:before="156" w:beforeLines="50" w:after="156" w:afterLines="50"/>
              <w:ind w:left="-105" w:leftChars="-50" w:right="-105" w:rightChars="-50"/>
              <w:jc w:val="center"/>
              <w:rPr>
                <w:rFonts w:ascii="Times New Roman" w:hAnsi="Times New Roman"/>
                <w:sz w:val="24"/>
              </w:rPr>
            </w:pPr>
          </w:p>
        </w:tc>
        <w:tc>
          <w:tcPr>
            <w:tcW w:w="1276" w:type="dxa"/>
            <w:vAlign w:val="center"/>
          </w:tcPr>
          <w:p>
            <w:pPr>
              <w:spacing w:before="156" w:beforeLines="50" w:after="156" w:afterLines="50"/>
              <w:ind w:left="-105" w:leftChars="-50" w:right="-105" w:rightChars="-50"/>
              <w:jc w:val="center"/>
              <w:rPr>
                <w:rFonts w:ascii="Times New Roman" w:hAnsi="Times New Roman"/>
                <w:sz w:val="24"/>
              </w:rPr>
            </w:pPr>
          </w:p>
        </w:tc>
        <w:tc>
          <w:tcPr>
            <w:tcW w:w="1559" w:type="dxa"/>
            <w:vAlign w:val="center"/>
          </w:tcPr>
          <w:p>
            <w:pPr>
              <w:spacing w:before="156" w:beforeLines="50" w:after="156" w:afterLines="50"/>
              <w:ind w:left="-105" w:leftChars="-50" w:right="-105" w:rightChars="-50"/>
              <w:jc w:val="center"/>
              <w:rPr>
                <w:rFonts w:ascii="Times New Roman" w:hAnsi="Times New Roman"/>
                <w:sz w:val="24"/>
              </w:rPr>
            </w:pPr>
          </w:p>
        </w:tc>
        <w:tc>
          <w:tcPr>
            <w:tcW w:w="1326" w:type="dxa"/>
            <w:vAlign w:val="center"/>
          </w:tcPr>
          <w:p>
            <w:pPr>
              <w:spacing w:before="156" w:beforeLines="50" w:after="156"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156" w:beforeLines="50" w:after="156" w:afterLines="50"/>
              <w:ind w:left="-105" w:leftChars="-50" w:right="-105" w:rightChars="-50"/>
              <w:jc w:val="center"/>
              <w:rPr>
                <w:rFonts w:ascii="Times New Roman" w:hAnsi="Times New Roman"/>
                <w:sz w:val="24"/>
              </w:rPr>
            </w:pPr>
            <w:r>
              <w:rPr>
                <w:rFonts w:ascii="Times New Roman" w:hAnsi="Times New Roman"/>
                <w:sz w:val="24"/>
              </w:rPr>
              <w:t>3</w:t>
            </w:r>
          </w:p>
        </w:tc>
        <w:tc>
          <w:tcPr>
            <w:tcW w:w="1080" w:type="dxa"/>
            <w:vAlign w:val="center"/>
          </w:tcPr>
          <w:p>
            <w:pPr>
              <w:spacing w:before="156" w:beforeLines="50" w:after="156" w:afterLines="50"/>
              <w:ind w:left="-105" w:leftChars="-50" w:right="-105" w:rightChars="-50"/>
              <w:jc w:val="center"/>
              <w:rPr>
                <w:rFonts w:ascii="Times New Roman" w:hAnsi="Times New Roman"/>
                <w:sz w:val="24"/>
              </w:rPr>
            </w:pPr>
          </w:p>
        </w:tc>
        <w:tc>
          <w:tcPr>
            <w:tcW w:w="1134" w:type="dxa"/>
            <w:vAlign w:val="center"/>
          </w:tcPr>
          <w:p>
            <w:pPr>
              <w:spacing w:before="156" w:beforeLines="50" w:after="156" w:afterLines="50"/>
              <w:ind w:left="-105" w:leftChars="-50" w:right="-105" w:rightChars="-50"/>
              <w:jc w:val="center"/>
              <w:rPr>
                <w:rFonts w:ascii="Times New Roman" w:hAnsi="Times New Roman"/>
                <w:sz w:val="24"/>
              </w:rPr>
            </w:pPr>
          </w:p>
        </w:tc>
        <w:tc>
          <w:tcPr>
            <w:tcW w:w="1418" w:type="dxa"/>
            <w:vAlign w:val="center"/>
          </w:tcPr>
          <w:p>
            <w:pPr>
              <w:spacing w:before="156" w:beforeLines="50" w:after="156" w:afterLines="50"/>
              <w:ind w:left="-105" w:leftChars="-50" w:right="-105" w:rightChars="-50"/>
              <w:jc w:val="center"/>
              <w:rPr>
                <w:rFonts w:ascii="Times New Roman" w:hAnsi="Times New Roman"/>
                <w:sz w:val="24"/>
              </w:rPr>
            </w:pPr>
          </w:p>
        </w:tc>
        <w:tc>
          <w:tcPr>
            <w:tcW w:w="1276" w:type="dxa"/>
            <w:vAlign w:val="center"/>
          </w:tcPr>
          <w:p>
            <w:pPr>
              <w:spacing w:before="156" w:beforeLines="50" w:after="156" w:afterLines="50"/>
              <w:ind w:left="-105" w:leftChars="-50" w:right="-105" w:rightChars="-50"/>
              <w:jc w:val="center"/>
              <w:rPr>
                <w:rFonts w:ascii="Times New Roman" w:hAnsi="Times New Roman"/>
                <w:sz w:val="24"/>
              </w:rPr>
            </w:pPr>
          </w:p>
        </w:tc>
        <w:tc>
          <w:tcPr>
            <w:tcW w:w="1559" w:type="dxa"/>
            <w:vAlign w:val="center"/>
          </w:tcPr>
          <w:p>
            <w:pPr>
              <w:spacing w:before="156" w:beforeLines="50" w:after="156" w:afterLines="50"/>
              <w:ind w:left="-105" w:leftChars="-50" w:right="-105" w:rightChars="-50"/>
              <w:jc w:val="center"/>
              <w:rPr>
                <w:rFonts w:ascii="Times New Roman" w:hAnsi="Times New Roman"/>
                <w:sz w:val="24"/>
              </w:rPr>
            </w:pPr>
          </w:p>
        </w:tc>
        <w:tc>
          <w:tcPr>
            <w:tcW w:w="1326" w:type="dxa"/>
            <w:vAlign w:val="center"/>
          </w:tcPr>
          <w:p>
            <w:pPr>
              <w:spacing w:before="156" w:beforeLines="50" w:after="156"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156" w:beforeLines="50" w:after="156" w:afterLines="50"/>
              <w:ind w:left="-105" w:leftChars="-50" w:right="-105" w:rightChars="-50"/>
              <w:jc w:val="center"/>
              <w:rPr>
                <w:rFonts w:ascii="Times New Roman" w:hAnsi="Times New Roman"/>
                <w:sz w:val="24"/>
              </w:rPr>
            </w:pPr>
            <w:r>
              <w:rPr>
                <w:rFonts w:ascii="Times New Roman" w:hAnsi="Times New Roman"/>
                <w:sz w:val="24"/>
              </w:rPr>
              <w:t>4</w:t>
            </w:r>
          </w:p>
        </w:tc>
        <w:tc>
          <w:tcPr>
            <w:tcW w:w="1080" w:type="dxa"/>
            <w:vAlign w:val="center"/>
          </w:tcPr>
          <w:p>
            <w:pPr>
              <w:spacing w:before="156" w:beforeLines="50" w:after="156" w:afterLines="50"/>
              <w:ind w:left="-105" w:leftChars="-50" w:right="-105" w:rightChars="-50"/>
              <w:jc w:val="center"/>
              <w:rPr>
                <w:rFonts w:ascii="Times New Roman" w:hAnsi="Times New Roman"/>
                <w:sz w:val="24"/>
              </w:rPr>
            </w:pPr>
          </w:p>
        </w:tc>
        <w:tc>
          <w:tcPr>
            <w:tcW w:w="1134" w:type="dxa"/>
            <w:vAlign w:val="center"/>
          </w:tcPr>
          <w:p>
            <w:pPr>
              <w:spacing w:before="156" w:beforeLines="50" w:after="156" w:afterLines="50"/>
              <w:ind w:left="-105" w:leftChars="-50" w:right="-105" w:rightChars="-50"/>
              <w:jc w:val="center"/>
              <w:rPr>
                <w:rFonts w:ascii="Times New Roman" w:hAnsi="Times New Roman"/>
                <w:sz w:val="24"/>
              </w:rPr>
            </w:pPr>
          </w:p>
        </w:tc>
        <w:tc>
          <w:tcPr>
            <w:tcW w:w="1418" w:type="dxa"/>
            <w:vAlign w:val="center"/>
          </w:tcPr>
          <w:p>
            <w:pPr>
              <w:spacing w:before="156" w:beforeLines="50" w:after="156" w:afterLines="50"/>
              <w:ind w:left="-105" w:leftChars="-50" w:right="-105" w:rightChars="-50"/>
              <w:jc w:val="center"/>
              <w:rPr>
                <w:rFonts w:ascii="Times New Roman" w:hAnsi="Times New Roman"/>
                <w:sz w:val="24"/>
              </w:rPr>
            </w:pPr>
          </w:p>
        </w:tc>
        <w:tc>
          <w:tcPr>
            <w:tcW w:w="1276" w:type="dxa"/>
            <w:vAlign w:val="center"/>
          </w:tcPr>
          <w:p>
            <w:pPr>
              <w:spacing w:before="156" w:beforeLines="50" w:after="156" w:afterLines="50"/>
              <w:ind w:left="-105" w:leftChars="-50" w:right="-105" w:rightChars="-50"/>
              <w:jc w:val="center"/>
              <w:rPr>
                <w:rFonts w:ascii="Times New Roman" w:hAnsi="Times New Roman"/>
                <w:sz w:val="24"/>
              </w:rPr>
            </w:pPr>
          </w:p>
        </w:tc>
        <w:tc>
          <w:tcPr>
            <w:tcW w:w="1559" w:type="dxa"/>
            <w:vAlign w:val="center"/>
          </w:tcPr>
          <w:p>
            <w:pPr>
              <w:spacing w:before="156" w:beforeLines="50" w:after="156" w:afterLines="50"/>
              <w:ind w:left="-105" w:leftChars="-50" w:right="-105" w:rightChars="-50"/>
              <w:jc w:val="center"/>
              <w:rPr>
                <w:rFonts w:ascii="Times New Roman" w:hAnsi="Times New Roman"/>
                <w:sz w:val="24"/>
              </w:rPr>
            </w:pPr>
          </w:p>
        </w:tc>
        <w:tc>
          <w:tcPr>
            <w:tcW w:w="1326" w:type="dxa"/>
            <w:vAlign w:val="center"/>
          </w:tcPr>
          <w:p>
            <w:pPr>
              <w:spacing w:before="156" w:beforeLines="50" w:after="156"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156" w:beforeLines="50" w:after="156" w:afterLines="50"/>
              <w:ind w:left="-105" w:leftChars="-50" w:right="-105" w:rightChars="-50"/>
              <w:jc w:val="center"/>
              <w:rPr>
                <w:rFonts w:ascii="Times New Roman" w:hAnsi="Times New Roman"/>
                <w:sz w:val="24"/>
              </w:rPr>
            </w:pPr>
            <w:r>
              <w:rPr>
                <w:rFonts w:ascii="Times New Roman" w:hAnsi="Times New Roman"/>
                <w:sz w:val="24"/>
              </w:rPr>
              <w:t>5</w:t>
            </w:r>
          </w:p>
        </w:tc>
        <w:tc>
          <w:tcPr>
            <w:tcW w:w="1080" w:type="dxa"/>
            <w:vAlign w:val="center"/>
          </w:tcPr>
          <w:p>
            <w:pPr>
              <w:spacing w:before="156" w:beforeLines="50" w:after="156" w:afterLines="50"/>
              <w:ind w:left="-105" w:leftChars="-50" w:right="-105" w:rightChars="-50"/>
              <w:jc w:val="center"/>
              <w:rPr>
                <w:rFonts w:ascii="Times New Roman" w:hAnsi="Times New Roman"/>
                <w:sz w:val="24"/>
              </w:rPr>
            </w:pPr>
          </w:p>
        </w:tc>
        <w:tc>
          <w:tcPr>
            <w:tcW w:w="1134" w:type="dxa"/>
            <w:vAlign w:val="center"/>
          </w:tcPr>
          <w:p>
            <w:pPr>
              <w:spacing w:before="156" w:beforeLines="50" w:after="156" w:afterLines="50"/>
              <w:ind w:left="-105" w:leftChars="-50" w:right="-105" w:rightChars="-50"/>
              <w:jc w:val="center"/>
              <w:rPr>
                <w:rFonts w:ascii="Times New Roman" w:hAnsi="Times New Roman"/>
                <w:sz w:val="24"/>
              </w:rPr>
            </w:pPr>
          </w:p>
        </w:tc>
        <w:tc>
          <w:tcPr>
            <w:tcW w:w="1418" w:type="dxa"/>
            <w:vAlign w:val="center"/>
          </w:tcPr>
          <w:p>
            <w:pPr>
              <w:spacing w:before="156" w:beforeLines="50" w:after="156" w:afterLines="50"/>
              <w:ind w:left="-105" w:leftChars="-50" w:right="-105" w:rightChars="-50"/>
              <w:jc w:val="center"/>
              <w:rPr>
                <w:rFonts w:ascii="Times New Roman" w:hAnsi="Times New Roman"/>
                <w:sz w:val="24"/>
              </w:rPr>
            </w:pPr>
          </w:p>
        </w:tc>
        <w:tc>
          <w:tcPr>
            <w:tcW w:w="1276" w:type="dxa"/>
            <w:vAlign w:val="center"/>
          </w:tcPr>
          <w:p>
            <w:pPr>
              <w:spacing w:before="156" w:beforeLines="50" w:after="156" w:afterLines="50"/>
              <w:ind w:left="-105" w:leftChars="-50" w:right="-105" w:rightChars="-50"/>
              <w:jc w:val="center"/>
              <w:rPr>
                <w:rFonts w:ascii="Times New Roman" w:hAnsi="Times New Roman"/>
                <w:sz w:val="24"/>
              </w:rPr>
            </w:pPr>
          </w:p>
        </w:tc>
        <w:tc>
          <w:tcPr>
            <w:tcW w:w="1559" w:type="dxa"/>
            <w:vAlign w:val="center"/>
          </w:tcPr>
          <w:p>
            <w:pPr>
              <w:spacing w:before="156" w:beforeLines="50" w:after="156" w:afterLines="50"/>
              <w:ind w:left="-105" w:leftChars="-50" w:right="-105" w:rightChars="-50"/>
              <w:jc w:val="center"/>
              <w:rPr>
                <w:rFonts w:ascii="Times New Roman" w:hAnsi="Times New Roman"/>
                <w:sz w:val="24"/>
              </w:rPr>
            </w:pPr>
          </w:p>
        </w:tc>
        <w:tc>
          <w:tcPr>
            <w:tcW w:w="1326" w:type="dxa"/>
            <w:vAlign w:val="center"/>
          </w:tcPr>
          <w:p>
            <w:pPr>
              <w:spacing w:before="156" w:beforeLines="50" w:after="156"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156" w:beforeLines="50" w:after="156" w:afterLines="50"/>
              <w:ind w:left="-105" w:leftChars="-50" w:right="-105" w:rightChars="-50"/>
              <w:jc w:val="center"/>
              <w:rPr>
                <w:rFonts w:ascii="Times New Roman" w:hAnsi="Times New Roman"/>
                <w:sz w:val="24"/>
              </w:rPr>
            </w:pPr>
            <w:r>
              <w:rPr>
                <w:rFonts w:ascii="Times New Roman" w:hAnsi="Times New Roman"/>
                <w:sz w:val="24"/>
              </w:rPr>
              <w:t>6</w:t>
            </w:r>
          </w:p>
        </w:tc>
        <w:tc>
          <w:tcPr>
            <w:tcW w:w="1080" w:type="dxa"/>
            <w:vAlign w:val="center"/>
          </w:tcPr>
          <w:p>
            <w:pPr>
              <w:spacing w:before="156" w:beforeLines="50" w:after="156" w:afterLines="50"/>
              <w:ind w:left="-105" w:leftChars="-50" w:right="-105" w:rightChars="-50"/>
              <w:jc w:val="center"/>
              <w:rPr>
                <w:rFonts w:ascii="Times New Roman" w:hAnsi="Times New Roman"/>
                <w:sz w:val="24"/>
              </w:rPr>
            </w:pPr>
          </w:p>
        </w:tc>
        <w:tc>
          <w:tcPr>
            <w:tcW w:w="1134" w:type="dxa"/>
            <w:vAlign w:val="center"/>
          </w:tcPr>
          <w:p>
            <w:pPr>
              <w:spacing w:before="156" w:beforeLines="50" w:after="156" w:afterLines="50"/>
              <w:ind w:left="-105" w:leftChars="-50" w:right="-105" w:rightChars="-50"/>
              <w:jc w:val="center"/>
              <w:rPr>
                <w:rFonts w:ascii="Times New Roman" w:hAnsi="Times New Roman"/>
                <w:sz w:val="24"/>
              </w:rPr>
            </w:pPr>
          </w:p>
        </w:tc>
        <w:tc>
          <w:tcPr>
            <w:tcW w:w="1418" w:type="dxa"/>
            <w:vAlign w:val="center"/>
          </w:tcPr>
          <w:p>
            <w:pPr>
              <w:spacing w:before="156" w:beforeLines="50" w:after="156" w:afterLines="50"/>
              <w:ind w:left="-105" w:leftChars="-50" w:right="-105" w:rightChars="-50"/>
              <w:jc w:val="center"/>
              <w:rPr>
                <w:rFonts w:ascii="Times New Roman" w:hAnsi="Times New Roman"/>
                <w:sz w:val="24"/>
              </w:rPr>
            </w:pPr>
          </w:p>
        </w:tc>
        <w:tc>
          <w:tcPr>
            <w:tcW w:w="1276" w:type="dxa"/>
            <w:vAlign w:val="center"/>
          </w:tcPr>
          <w:p>
            <w:pPr>
              <w:spacing w:before="156" w:beforeLines="50" w:after="156" w:afterLines="50"/>
              <w:ind w:left="-105" w:leftChars="-50" w:right="-105" w:rightChars="-50"/>
              <w:jc w:val="center"/>
              <w:rPr>
                <w:rFonts w:ascii="Times New Roman" w:hAnsi="Times New Roman"/>
                <w:sz w:val="24"/>
              </w:rPr>
            </w:pPr>
          </w:p>
        </w:tc>
        <w:tc>
          <w:tcPr>
            <w:tcW w:w="1559" w:type="dxa"/>
            <w:vAlign w:val="center"/>
          </w:tcPr>
          <w:p>
            <w:pPr>
              <w:spacing w:before="156" w:beforeLines="50" w:after="156" w:afterLines="50"/>
              <w:ind w:left="-105" w:leftChars="-50" w:right="-105" w:rightChars="-50"/>
              <w:jc w:val="center"/>
              <w:rPr>
                <w:rFonts w:ascii="Times New Roman" w:hAnsi="Times New Roman"/>
                <w:sz w:val="24"/>
              </w:rPr>
            </w:pPr>
          </w:p>
        </w:tc>
        <w:tc>
          <w:tcPr>
            <w:tcW w:w="1326" w:type="dxa"/>
            <w:vAlign w:val="center"/>
          </w:tcPr>
          <w:p>
            <w:pPr>
              <w:spacing w:before="156" w:beforeLines="50" w:after="156"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156" w:beforeLines="50" w:after="156" w:afterLines="50"/>
              <w:ind w:left="-105" w:leftChars="-50" w:right="-105" w:rightChars="-50"/>
              <w:jc w:val="center"/>
              <w:rPr>
                <w:rFonts w:ascii="Times New Roman" w:hAnsi="Times New Roman"/>
                <w:sz w:val="24"/>
              </w:rPr>
            </w:pPr>
            <w:r>
              <w:rPr>
                <w:rFonts w:ascii="Times New Roman" w:hAnsi="Times New Roman"/>
                <w:sz w:val="24"/>
              </w:rPr>
              <w:t>7</w:t>
            </w:r>
          </w:p>
        </w:tc>
        <w:tc>
          <w:tcPr>
            <w:tcW w:w="1080" w:type="dxa"/>
            <w:vAlign w:val="center"/>
          </w:tcPr>
          <w:p>
            <w:pPr>
              <w:spacing w:before="156" w:beforeLines="50" w:after="156" w:afterLines="50"/>
              <w:ind w:left="-105" w:leftChars="-50" w:right="-105" w:rightChars="-50"/>
              <w:jc w:val="center"/>
              <w:rPr>
                <w:rFonts w:ascii="Times New Roman" w:hAnsi="Times New Roman"/>
                <w:sz w:val="24"/>
              </w:rPr>
            </w:pPr>
          </w:p>
        </w:tc>
        <w:tc>
          <w:tcPr>
            <w:tcW w:w="1134" w:type="dxa"/>
            <w:vAlign w:val="center"/>
          </w:tcPr>
          <w:p>
            <w:pPr>
              <w:spacing w:before="156" w:beforeLines="50" w:after="156" w:afterLines="50"/>
              <w:ind w:left="-105" w:leftChars="-50" w:right="-105" w:rightChars="-50"/>
              <w:jc w:val="center"/>
              <w:rPr>
                <w:rFonts w:ascii="Times New Roman" w:hAnsi="Times New Roman"/>
                <w:sz w:val="24"/>
              </w:rPr>
            </w:pPr>
          </w:p>
        </w:tc>
        <w:tc>
          <w:tcPr>
            <w:tcW w:w="1418" w:type="dxa"/>
            <w:vAlign w:val="center"/>
          </w:tcPr>
          <w:p>
            <w:pPr>
              <w:spacing w:before="156" w:beforeLines="50" w:after="156" w:afterLines="50"/>
              <w:ind w:left="-105" w:leftChars="-50" w:right="-105" w:rightChars="-50"/>
              <w:jc w:val="center"/>
              <w:rPr>
                <w:rFonts w:ascii="Times New Roman" w:hAnsi="Times New Roman"/>
                <w:sz w:val="24"/>
              </w:rPr>
            </w:pPr>
          </w:p>
        </w:tc>
        <w:tc>
          <w:tcPr>
            <w:tcW w:w="1276" w:type="dxa"/>
            <w:vAlign w:val="center"/>
          </w:tcPr>
          <w:p>
            <w:pPr>
              <w:spacing w:before="156" w:beforeLines="50" w:after="156" w:afterLines="50"/>
              <w:ind w:left="-105" w:leftChars="-50" w:right="-105" w:rightChars="-50"/>
              <w:jc w:val="center"/>
              <w:rPr>
                <w:rFonts w:ascii="Times New Roman" w:hAnsi="Times New Roman"/>
                <w:sz w:val="24"/>
              </w:rPr>
            </w:pPr>
          </w:p>
        </w:tc>
        <w:tc>
          <w:tcPr>
            <w:tcW w:w="1559" w:type="dxa"/>
            <w:vAlign w:val="center"/>
          </w:tcPr>
          <w:p>
            <w:pPr>
              <w:spacing w:before="156" w:beforeLines="50" w:after="156" w:afterLines="50"/>
              <w:ind w:left="-105" w:leftChars="-50" w:right="-105" w:rightChars="-50"/>
              <w:jc w:val="center"/>
              <w:rPr>
                <w:rFonts w:ascii="Times New Roman" w:hAnsi="Times New Roman"/>
                <w:sz w:val="24"/>
              </w:rPr>
            </w:pPr>
          </w:p>
        </w:tc>
        <w:tc>
          <w:tcPr>
            <w:tcW w:w="1326" w:type="dxa"/>
            <w:vAlign w:val="center"/>
          </w:tcPr>
          <w:p>
            <w:pPr>
              <w:spacing w:before="156" w:beforeLines="50" w:after="156"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2" w:type="dxa"/>
            <w:gridSpan w:val="7"/>
            <w:vAlign w:val="center"/>
          </w:tcPr>
          <w:p>
            <w:pPr>
              <w:spacing w:before="156" w:beforeLines="50" w:after="156" w:afterLines="50"/>
              <w:ind w:left="-105" w:leftChars="-50" w:right="-105" w:rightChars="-50"/>
              <w:jc w:val="left"/>
              <w:rPr>
                <w:rFonts w:ascii="Times New Roman" w:hAnsi="Times New Roman"/>
                <w:b/>
                <w:sz w:val="24"/>
              </w:rPr>
            </w:pPr>
            <w:r>
              <w:rPr>
                <w:rFonts w:ascii="Times New Roman" w:hAnsi="Times New Roman"/>
                <w:b/>
                <w:sz w:val="24"/>
              </w:rPr>
              <w:t>分项报价合计（</w:t>
            </w:r>
            <w:r>
              <w:rPr>
                <w:rFonts w:hint="eastAsia" w:ascii="Times New Roman" w:hAnsi="Times New Roman"/>
                <w:b/>
                <w:sz w:val="24"/>
              </w:rPr>
              <w:t>万</w:t>
            </w:r>
            <w:r>
              <w:rPr>
                <w:rFonts w:ascii="Times New Roman" w:hAnsi="Times New Roman"/>
                <w:b/>
                <w:sz w:val="24"/>
              </w:rPr>
              <w:t>元）：          大写：</w:t>
            </w:r>
          </w:p>
        </w:tc>
      </w:tr>
    </w:tbl>
    <w:p>
      <w:pPr>
        <w:spacing w:line="360" w:lineRule="auto"/>
        <w:rPr>
          <w:rFonts w:ascii="Times New Roman" w:hAnsi="Times New Roman"/>
          <w:b/>
          <w:sz w:val="24"/>
        </w:rPr>
      </w:pPr>
      <w:r>
        <w:rPr>
          <w:rFonts w:ascii="Times New Roman" w:hAnsi="Times New Roman"/>
          <w:b/>
          <w:sz w:val="24"/>
        </w:rPr>
        <w:t>注：</w:t>
      </w:r>
    </w:p>
    <w:p>
      <w:pPr>
        <w:spacing w:line="360" w:lineRule="auto"/>
        <w:ind w:left="850" w:leftChars="229" w:hanging="369" w:hangingChars="154"/>
        <w:rPr>
          <w:rFonts w:ascii="Times New Roman" w:hAnsi="Times New Roman"/>
          <w:sz w:val="24"/>
        </w:rPr>
      </w:pPr>
      <w:r>
        <w:rPr>
          <w:rFonts w:ascii="Times New Roman" w:hAnsi="Times New Roman"/>
          <w:sz w:val="24"/>
        </w:rPr>
        <w:t>1、比选申请人人必须按“分项报价明细表”的格式详细报出投标总价的各个组成部分的报价，无法细分出报价组成因素的可直接报总价。</w:t>
      </w:r>
    </w:p>
    <w:p>
      <w:pPr>
        <w:spacing w:line="360" w:lineRule="auto"/>
        <w:ind w:left="850" w:leftChars="229" w:hanging="369" w:hangingChars="154"/>
        <w:rPr>
          <w:rFonts w:ascii="Times New Roman" w:hAnsi="Times New Roman"/>
          <w:sz w:val="24"/>
        </w:rPr>
      </w:pPr>
      <w:r>
        <w:rPr>
          <w:rFonts w:ascii="Times New Roman" w:hAnsi="Times New Roman"/>
          <w:sz w:val="24"/>
        </w:rPr>
        <w:t>2、“分项报价明细表”各分项报价合计应当与“报价表”报价合计相等。</w:t>
      </w: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法定代表人/单位负责人或授权代表</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jc w:val="center"/>
        <w:rPr>
          <w:rFonts w:ascii="Times New Roman" w:hAnsi="Times New Roman"/>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r>
        <w:rPr>
          <w:rFonts w:ascii="Times New Roman" w:hAnsi="Times New Roman"/>
          <w:bCs/>
          <w:kern w:val="0"/>
          <w:sz w:val="24"/>
        </w:rPr>
        <w:br w:type="page"/>
      </w:r>
      <w:bookmarkEnd w:id="5"/>
      <w:bookmarkEnd w:id="6"/>
      <w:bookmarkStart w:id="51" w:name="_Toc520455385"/>
      <w:r>
        <w:rPr>
          <w:rFonts w:ascii="Times New Roman" w:hAnsi="Times New Roman"/>
          <w:b/>
          <w:bCs/>
          <w:kern w:val="0"/>
          <w:sz w:val="32"/>
          <w:szCs w:val="32"/>
        </w:rPr>
        <w:t xml:space="preserve"> </w:t>
      </w:r>
      <w:r>
        <w:rPr>
          <w:rFonts w:hint="eastAsia" w:ascii="Times New Roman" w:hAnsi="Times New Roman"/>
          <w:b/>
          <w:bCs/>
          <w:kern w:val="0"/>
          <w:sz w:val="32"/>
          <w:szCs w:val="32"/>
        </w:rPr>
        <w:t>第四章 评标与定标</w:t>
      </w:r>
    </w:p>
    <w:p>
      <w:pPr>
        <w:widowControl/>
        <w:adjustRightInd w:val="0"/>
        <w:snapToGrid w:val="0"/>
        <w:spacing w:line="400" w:lineRule="exact"/>
        <w:ind w:firstLine="480" w:firstLineChars="200"/>
        <w:jc w:val="left"/>
        <w:rPr>
          <w:rFonts w:ascii="Times New Roman" w:hAnsi="Times New Roman"/>
          <w:bCs/>
          <w:kern w:val="0"/>
          <w:sz w:val="24"/>
          <w:szCs w:val="20"/>
        </w:rPr>
      </w:pPr>
      <w:r>
        <w:rPr>
          <w:rFonts w:hint="eastAsia" w:ascii="Times New Roman" w:hAnsi="Times New Roman"/>
          <w:bCs/>
          <w:kern w:val="0"/>
          <w:sz w:val="24"/>
          <w:szCs w:val="20"/>
        </w:rPr>
        <w:t>本项目采取综合评分定标原则，</w:t>
      </w:r>
      <w:r>
        <w:rPr>
          <w:rFonts w:ascii="Times New Roman" w:hAnsi="Times New Roman"/>
          <w:bCs/>
          <w:kern w:val="0"/>
          <w:sz w:val="24"/>
          <w:szCs w:val="20"/>
        </w:rPr>
        <w:t>按比选文件中规定的评标方法和标准，对未作无效投标处理的响应文件进行技术、服务、商务等方面评估，综合比较与评价，并进行综合评分：</w:t>
      </w:r>
    </w:p>
    <w:p>
      <w:pPr>
        <w:widowControl/>
        <w:adjustRightInd w:val="0"/>
        <w:snapToGrid w:val="0"/>
        <w:spacing w:line="400" w:lineRule="exact"/>
        <w:jc w:val="left"/>
        <w:rPr>
          <w:rFonts w:ascii="Times New Roman" w:hAnsi="Times New Roman"/>
          <w:b/>
          <w:bCs/>
          <w:kern w:val="0"/>
          <w:sz w:val="24"/>
          <w:szCs w:val="20"/>
        </w:rPr>
      </w:pPr>
      <w:r>
        <w:rPr>
          <w:rFonts w:ascii="Times New Roman" w:hAnsi="Times New Roman"/>
          <w:b/>
          <w:bCs/>
          <w:kern w:val="0"/>
          <w:sz w:val="24"/>
          <w:szCs w:val="20"/>
        </w:rPr>
        <w:t>综合评分明细表</w:t>
      </w:r>
      <w:r>
        <w:rPr>
          <w:rFonts w:hint="eastAsia" w:ascii="Times New Roman" w:hAnsi="Times New Roman"/>
          <w:b/>
          <w:bCs/>
          <w:kern w:val="0"/>
          <w:sz w:val="24"/>
          <w:szCs w:val="20"/>
        </w:rPr>
        <w:t>：</w:t>
      </w:r>
    </w:p>
    <w:bookmarkEnd w:id="51"/>
    <w:tbl>
      <w:tblPr>
        <w:tblStyle w:val="22"/>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738"/>
        <w:gridCol w:w="3798"/>
        <w:gridCol w:w="2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blHeader/>
        </w:trPr>
        <w:tc>
          <w:tcPr>
            <w:tcW w:w="675"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28"/>
              <w:jc w:val="center"/>
              <w:textAlignment w:val="auto"/>
              <w:rPr>
                <w:rFonts w:ascii="新宋体" w:hAnsi="新宋体" w:eastAsia="新宋体" w:cs="宋体"/>
                <w:sz w:val="21"/>
                <w:szCs w:val="21"/>
              </w:rPr>
            </w:pPr>
            <w:r>
              <w:rPr>
                <w:rFonts w:hint="eastAsia" w:ascii="新宋体" w:hAnsi="新宋体" w:eastAsia="新宋体" w:cs="宋体"/>
                <w:sz w:val="21"/>
                <w:szCs w:val="21"/>
              </w:rPr>
              <w:t>序号</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28"/>
              <w:jc w:val="center"/>
              <w:textAlignment w:val="auto"/>
              <w:rPr>
                <w:rFonts w:ascii="新宋体" w:hAnsi="新宋体" w:eastAsia="新宋体" w:cs="宋体"/>
                <w:sz w:val="21"/>
                <w:szCs w:val="21"/>
              </w:rPr>
            </w:pPr>
            <w:r>
              <w:rPr>
                <w:rFonts w:hint="eastAsia" w:ascii="新宋体" w:hAnsi="新宋体" w:eastAsia="新宋体" w:cs="宋体"/>
                <w:sz w:val="21"/>
                <w:szCs w:val="21"/>
              </w:rPr>
              <w:t>评分因素及权重</w:t>
            </w:r>
          </w:p>
        </w:tc>
        <w:tc>
          <w:tcPr>
            <w:tcW w:w="738"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28"/>
              <w:jc w:val="center"/>
              <w:textAlignment w:val="auto"/>
              <w:rPr>
                <w:rFonts w:ascii="新宋体" w:hAnsi="新宋体" w:eastAsia="新宋体" w:cs="宋体"/>
                <w:sz w:val="21"/>
                <w:szCs w:val="21"/>
              </w:rPr>
            </w:pPr>
            <w:r>
              <w:rPr>
                <w:rFonts w:hint="eastAsia" w:ascii="新宋体" w:hAnsi="新宋体" w:eastAsia="新宋体" w:cs="宋体"/>
                <w:sz w:val="21"/>
                <w:szCs w:val="21"/>
              </w:rPr>
              <w:t>分值</w:t>
            </w:r>
          </w:p>
        </w:tc>
        <w:tc>
          <w:tcPr>
            <w:tcW w:w="3798"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28"/>
              <w:jc w:val="center"/>
              <w:textAlignment w:val="auto"/>
              <w:rPr>
                <w:rFonts w:ascii="新宋体" w:hAnsi="新宋体" w:eastAsia="新宋体" w:cs="宋体"/>
                <w:sz w:val="21"/>
                <w:szCs w:val="21"/>
              </w:rPr>
            </w:pPr>
            <w:r>
              <w:rPr>
                <w:rFonts w:hint="eastAsia" w:ascii="新宋体" w:hAnsi="新宋体" w:eastAsia="新宋体" w:cs="宋体"/>
                <w:sz w:val="21"/>
                <w:szCs w:val="21"/>
              </w:rPr>
              <w:t>评分标准</w:t>
            </w:r>
          </w:p>
        </w:tc>
        <w:tc>
          <w:tcPr>
            <w:tcW w:w="262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新宋体" w:hAnsi="新宋体" w:eastAsia="新宋体" w:cs="宋体"/>
                <w:sz w:val="21"/>
                <w:szCs w:val="21"/>
              </w:rPr>
            </w:pPr>
            <w:r>
              <w:rPr>
                <w:rFonts w:hint="eastAsia" w:ascii="新宋体" w:hAnsi="新宋体" w:eastAsia="新宋体" w:cs="宋体"/>
                <w:sz w:val="21"/>
                <w:szCs w:val="21"/>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675"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28"/>
              <w:jc w:val="center"/>
              <w:textAlignment w:val="auto"/>
              <w:rPr>
                <w:rFonts w:ascii="新宋体" w:hAnsi="新宋体" w:eastAsia="新宋体" w:cs="宋体"/>
                <w:sz w:val="21"/>
                <w:szCs w:val="21"/>
              </w:rPr>
            </w:pPr>
            <w:r>
              <w:rPr>
                <w:rFonts w:hint="eastAsia" w:ascii="新宋体" w:hAnsi="新宋体" w:eastAsia="新宋体" w:cs="宋体"/>
                <w:sz w:val="21"/>
                <w:szCs w:val="21"/>
              </w:rPr>
              <w:t>1</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28"/>
              <w:jc w:val="center"/>
              <w:textAlignment w:val="auto"/>
              <w:rPr>
                <w:rFonts w:ascii="新宋体" w:hAnsi="新宋体" w:eastAsia="新宋体" w:cs="宋体"/>
                <w:sz w:val="21"/>
                <w:szCs w:val="21"/>
              </w:rPr>
            </w:pPr>
            <w:r>
              <w:rPr>
                <w:rFonts w:hint="eastAsia" w:ascii="新宋体" w:hAnsi="新宋体" w:eastAsia="新宋体" w:cs="宋体"/>
                <w:sz w:val="21"/>
                <w:szCs w:val="21"/>
              </w:rPr>
              <w:t>价格</w:t>
            </w:r>
            <w:r>
              <w:rPr>
                <w:rFonts w:ascii="新宋体" w:hAnsi="新宋体" w:eastAsia="新宋体" w:cs="宋体"/>
                <w:sz w:val="21"/>
                <w:szCs w:val="21"/>
              </w:rPr>
              <w:t>1</w:t>
            </w:r>
            <w:r>
              <w:rPr>
                <w:rFonts w:hint="eastAsia" w:ascii="新宋体" w:hAnsi="新宋体" w:eastAsia="新宋体" w:cs="宋体"/>
                <w:sz w:val="21"/>
                <w:szCs w:val="21"/>
              </w:rPr>
              <w:t>0%</w:t>
            </w:r>
          </w:p>
        </w:tc>
        <w:tc>
          <w:tcPr>
            <w:tcW w:w="738"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28"/>
              <w:jc w:val="center"/>
              <w:textAlignment w:val="auto"/>
              <w:rPr>
                <w:rFonts w:ascii="新宋体" w:hAnsi="新宋体" w:eastAsia="新宋体" w:cs="宋体"/>
                <w:sz w:val="21"/>
                <w:szCs w:val="21"/>
              </w:rPr>
            </w:pPr>
            <w:r>
              <w:rPr>
                <w:rFonts w:ascii="新宋体" w:hAnsi="新宋体" w:eastAsia="新宋体" w:cs="宋体"/>
                <w:sz w:val="21"/>
                <w:szCs w:val="21"/>
              </w:rPr>
              <w:t>1</w:t>
            </w:r>
            <w:r>
              <w:rPr>
                <w:rFonts w:hint="eastAsia" w:ascii="新宋体" w:hAnsi="新宋体" w:eastAsia="新宋体" w:cs="宋体"/>
                <w:sz w:val="21"/>
                <w:szCs w:val="21"/>
              </w:rPr>
              <w:t>0分</w:t>
            </w:r>
          </w:p>
        </w:tc>
        <w:tc>
          <w:tcPr>
            <w:tcW w:w="3798"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新宋体" w:hAnsi="新宋体" w:eastAsia="新宋体" w:cs="宋体"/>
                <w:sz w:val="21"/>
                <w:szCs w:val="21"/>
              </w:rPr>
            </w:pPr>
            <w:r>
              <w:rPr>
                <w:rFonts w:hint="eastAsia" w:ascii="新宋体" w:hAnsi="新宋体" w:eastAsia="新宋体" w:cs="宋体"/>
                <w:sz w:val="21"/>
                <w:szCs w:val="21"/>
              </w:rPr>
              <w:t>满足招标文件要求且投标价格最低的投标报价为评标基准价，其价格分为满分。其他投标人的价格分统一按照下列公式计算：投标报价得分=(评标基准价／投标报价)×</w:t>
            </w:r>
            <w:r>
              <w:rPr>
                <w:rFonts w:ascii="新宋体" w:hAnsi="新宋体" w:eastAsia="新宋体" w:cs="宋体"/>
                <w:sz w:val="21"/>
                <w:szCs w:val="21"/>
              </w:rPr>
              <w:t>1</w:t>
            </w:r>
            <w:r>
              <w:rPr>
                <w:rFonts w:hint="eastAsia" w:ascii="新宋体" w:hAnsi="新宋体" w:eastAsia="新宋体" w:cs="宋体"/>
                <w:sz w:val="21"/>
                <w:szCs w:val="21"/>
              </w:rPr>
              <w:t>0；</w:t>
            </w:r>
          </w:p>
        </w:tc>
        <w:tc>
          <w:tcPr>
            <w:tcW w:w="2621"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38" w:firstLine="374" w:firstLineChars="0"/>
              <w:textAlignment w:val="auto"/>
              <w:rPr>
                <w:rFonts w:hint="eastAsia" w:ascii="新宋体" w:hAnsi="新宋体" w:eastAsia="新宋体" w:cs="宋体"/>
                <w:sz w:val="21"/>
                <w:szCs w:val="21"/>
                <w:lang w:eastAsia="zh-CN"/>
              </w:rPr>
            </w:pPr>
            <w:r>
              <w:rPr>
                <w:rFonts w:hint="eastAsia" w:ascii="新宋体" w:hAnsi="新宋体" w:eastAsia="新宋体" w:cs="宋体"/>
                <w:sz w:val="21"/>
                <w:szCs w:val="21"/>
                <w:lang w:eastAsia="zh-CN"/>
              </w:rPr>
              <w:t>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675"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28"/>
              <w:jc w:val="center"/>
              <w:textAlignment w:val="auto"/>
              <w:rPr>
                <w:rFonts w:ascii="新宋体" w:hAnsi="新宋体" w:eastAsia="新宋体" w:cs="宋体"/>
                <w:sz w:val="21"/>
                <w:szCs w:val="21"/>
              </w:rPr>
            </w:pPr>
            <w:r>
              <w:rPr>
                <w:rFonts w:hint="eastAsia" w:ascii="新宋体" w:hAnsi="新宋体" w:eastAsia="新宋体" w:cs="宋体"/>
                <w:sz w:val="21"/>
                <w:szCs w:val="21"/>
              </w:rPr>
              <w:t>2</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新宋体" w:hAnsi="新宋体" w:eastAsia="新宋体" w:cs="宋体"/>
                <w:sz w:val="21"/>
                <w:szCs w:val="21"/>
              </w:rPr>
            </w:pPr>
            <w:r>
              <w:rPr>
                <w:rFonts w:hint="eastAsia" w:ascii="新宋体" w:hAnsi="新宋体" w:eastAsia="新宋体" w:cs="宋体"/>
                <w:sz w:val="21"/>
                <w:szCs w:val="21"/>
              </w:rPr>
              <w:t>技术要求20%</w:t>
            </w:r>
          </w:p>
        </w:tc>
        <w:tc>
          <w:tcPr>
            <w:tcW w:w="738"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28"/>
              <w:jc w:val="center"/>
              <w:textAlignment w:val="auto"/>
              <w:rPr>
                <w:rFonts w:ascii="新宋体" w:hAnsi="新宋体" w:eastAsia="新宋体" w:cs="宋体"/>
                <w:sz w:val="21"/>
                <w:szCs w:val="21"/>
              </w:rPr>
            </w:pPr>
            <w:r>
              <w:rPr>
                <w:rFonts w:hint="eastAsia" w:ascii="新宋体" w:hAnsi="新宋体" w:eastAsia="新宋体" w:cs="宋体"/>
                <w:sz w:val="21"/>
                <w:szCs w:val="21"/>
              </w:rPr>
              <w:t>20分</w:t>
            </w:r>
          </w:p>
        </w:tc>
        <w:tc>
          <w:tcPr>
            <w:tcW w:w="3798"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新宋体" w:hAnsi="新宋体" w:eastAsia="新宋体" w:cs="宋体"/>
                <w:sz w:val="21"/>
                <w:szCs w:val="21"/>
              </w:rPr>
            </w:pPr>
            <w:r>
              <w:rPr>
                <w:rFonts w:hint="eastAsia" w:ascii="新宋体" w:hAnsi="新宋体" w:eastAsia="新宋体" w:cs="宋体"/>
                <w:color w:val="000000"/>
                <w:sz w:val="21"/>
                <w:szCs w:val="21"/>
              </w:rPr>
              <w:t>完全符合招标文件要求</w:t>
            </w:r>
            <w:r>
              <w:rPr>
                <w:rFonts w:hint="eastAsia" w:ascii="新宋体" w:hAnsi="新宋体" w:eastAsia="新宋体" w:cs="宋体"/>
                <w:color w:val="000000"/>
                <w:sz w:val="21"/>
                <w:szCs w:val="21"/>
                <w:lang w:eastAsia="zh-CN"/>
              </w:rPr>
              <w:t>，</w:t>
            </w:r>
            <w:r>
              <w:rPr>
                <w:rFonts w:hint="eastAsia" w:ascii="新宋体" w:hAnsi="新宋体" w:eastAsia="新宋体" w:cs="宋体"/>
                <w:sz w:val="21"/>
                <w:szCs w:val="21"/>
              </w:rPr>
              <w:t>得20分</w:t>
            </w:r>
            <w:r>
              <w:rPr>
                <w:rFonts w:hint="eastAsia" w:ascii="新宋体" w:hAnsi="新宋体" w:eastAsia="新宋体" w:cs="宋体"/>
                <w:sz w:val="21"/>
                <w:szCs w:val="21"/>
                <w:lang w:eastAsia="zh-CN"/>
              </w:rPr>
              <w:t>，</w:t>
            </w:r>
            <w:r>
              <w:rPr>
                <w:rFonts w:hint="eastAsia" w:ascii="新宋体" w:hAnsi="新宋体" w:eastAsia="新宋体" w:cs="宋体"/>
                <w:sz w:val="21"/>
                <w:szCs w:val="21"/>
              </w:rPr>
              <w:t>未完全符合招标文件要求，一条不满足扣5分，扣完为止。</w:t>
            </w:r>
          </w:p>
        </w:tc>
        <w:tc>
          <w:tcPr>
            <w:tcW w:w="2621"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新宋体" w:hAnsi="新宋体" w:eastAsia="新宋体" w:cs="宋体"/>
                <w:sz w:val="21"/>
                <w:szCs w:val="21"/>
                <w:lang w:eastAsia="zh-CN"/>
              </w:rPr>
            </w:pPr>
            <w:r>
              <w:rPr>
                <w:rFonts w:hint="eastAsia" w:ascii="新宋体" w:hAnsi="新宋体" w:eastAsia="新宋体" w:cs="宋体"/>
                <w:color w:val="000000"/>
                <w:sz w:val="21"/>
                <w:szCs w:val="21"/>
              </w:rPr>
              <w:t>加“★”条款</w:t>
            </w:r>
            <w:r>
              <w:rPr>
                <w:rFonts w:hint="eastAsia" w:ascii="新宋体" w:hAnsi="新宋体" w:eastAsia="新宋体" w:cs="宋体"/>
                <w:color w:val="000000"/>
                <w:sz w:val="21"/>
                <w:szCs w:val="21"/>
                <w:lang w:eastAsia="zh-CN"/>
              </w:rPr>
              <w:t>为实质性响应条款，任何一条不满足，则为无效投标。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675"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28"/>
              <w:jc w:val="center"/>
              <w:textAlignment w:val="auto"/>
              <w:rPr>
                <w:rFonts w:ascii="新宋体" w:hAnsi="新宋体" w:eastAsia="新宋体" w:cs="宋体"/>
                <w:sz w:val="21"/>
                <w:szCs w:val="21"/>
              </w:rPr>
            </w:pPr>
            <w:r>
              <w:rPr>
                <w:rFonts w:ascii="新宋体" w:hAnsi="新宋体" w:eastAsia="新宋体" w:cs="宋体"/>
                <w:sz w:val="21"/>
                <w:szCs w:val="21"/>
              </w:rPr>
              <w:t>3</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新宋体" w:hAnsi="新宋体" w:eastAsia="新宋体" w:cs="宋体"/>
                <w:sz w:val="21"/>
                <w:szCs w:val="21"/>
              </w:rPr>
            </w:pPr>
            <w:r>
              <w:rPr>
                <w:rFonts w:hint="eastAsia" w:ascii="新宋体" w:hAnsi="新宋体" w:eastAsia="新宋体" w:cs="宋体"/>
                <w:sz w:val="21"/>
                <w:szCs w:val="21"/>
              </w:rPr>
              <w:t>维保方案制定3</w:t>
            </w:r>
            <w:r>
              <w:rPr>
                <w:rFonts w:ascii="新宋体" w:hAnsi="新宋体" w:eastAsia="新宋体" w:cs="宋体"/>
                <w:sz w:val="21"/>
                <w:szCs w:val="21"/>
              </w:rPr>
              <w:t>0</w:t>
            </w:r>
            <w:r>
              <w:rPr>
                <w:rFonts w:hint="eastAsia" w:ascii="新宋体" w:hAnsi="新宋体" w:eastAsia="新宋体" w:cs="宋体"/>
                <w:sz w:val="21"/>
                <w:szCs w:val="21"/>
              </w:rPr>
              <w:t>%</w:t>
            </w:r>
          </w:p>
        </w:tc>
        <w:tc>
          <w:tcPr>
            <w:tcW w:w="738"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新宋体" w:hAnsi="新宋体" w:eastAsia="新宋体" w:cs="宋体"/>
                <w:sz w:val="21"/>
                <w:szCs w:val="21"/>
              </w:rPr>
            </w:pPr>
            <w:r>
              <w:rPr>
                <w:rFonts w:ascii="新宋体" w:hAnsi="新宋体" w:eastAsia="新宋体" w:cs="宋体"/>
                <w:sz w:val="21"/>
                <w:szCs w:val="21"/>
              </w:rPr>
              <w:t>30</w:t>
            </w:r>
            <w:r>
              <w:rPr>
                <w:rFonts w:hint="eastAsia" w:ascii="新宋体" w:hAnsi="新宋体" w:eastAsia="新宋体" w:cs="宋体"/>
                <w:sz w:val="21"/>
                <w:szCs w:val="21"/>
              </w:rPr>
              <w:t>分</w:t>
            </w:r>
          </w:p>
        </w:tc>
        <w:tc>
          <w:tcPr>
            <w:tcW w:w="3798"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新宋体" w:hAnsi="新宋体" w:eastAsia="新宋体" w:cs="宋体"/>
                <w:sz w:val="21"/>
                <w:szCs w:val="21"/>
              </w:rPr>
            </w:pPr>
            <w:r>
              <w:rPr>
                <w:rFonts w:hint="eastAsia" w:ascii="新宋体" w:hAnsi="新宋体" w:eastAsia="新宋体" w:cs="宋体"/>
                <w:sz w:val="21"/>
                <w:szCs w:val="21"/>
              </w:rPr>
              <w:t>投标人提供针对我院制定具体的数据库维保服务管理和实施方案， 包括以下部分：系统现状调查情况分析；当前系统备份、灾备存在的问题，需要改进的解决方案；数据库配置情况介绍；业务模型、现状；针对项目提供相应具体运维实施方案；制定数据库管理制度，管理规范等且符合本项目采购需求得</w:t>
            </w:r>
            <w:r>
              <w:rPr>
                <w:rFonts w:ascii="新宋体" w:hAnsi="新宋体" w:eastAsia="新宋体" w:cs="宋体"/>
                <w:sz w:val="21"/>
                <w:szCs w:val="21"/>
              </w:rPr>
              <w:t>30</w:t>
            </w:r>
            <w:r>
              <w:rPr>
                <w:rFonts w:hint="eastAsia" w:ascii="新宋体" w:hAnsi="新宋体" w:eastAsia="新宋体" w:cs="宋体"/>
                <w:sz w:val="21"/>
                <w:szCs w:val="21"/>
              </w:rPr>
              <w:t>分，有一项未体现或不能满足本项目采购需求的扣</w:t>
            </w:r>
            <w:r>
              <w:rPr>
                <w:rFonts w:ascii="新宋体" w:hAnsi="新宋体" w:eastAsia="新宋体" w:cs="宋体"/>
                <w:sz w:val="21"/>
                <w:szCs w:val="21"/>
              </w:rPr>
              <w:t>5</w:t>
            </w:r>
            <w:r>
              <w:rPr>
                <w:rFonts w:hint="eastAsia" w:ascii="新宋体" w:hAnsi="新宋体" w:eastAsia="新宋体" w:cs="宋体"/>
                <w:sz w:val="21"/>
                <w:szCs w:val="21"/>
              </w:rPr>
              <w:t>分，扣完为止。</w:t>
            </w:r>
          </w:p>
        </w:tc>
        <w:tc>
          <w:tcPr>
            <w:tcW w:w="2621"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新宋体" w:hAnsi="新宋体" w:eastAsia="新宋体" w:cs="宋体"/>
                <w:sz w:val="21"/>
                <w:szCs w:val="21"/>
              </w:rPr>
            </w:pPr>
            <w:r>
              <w:rPr>
                <w:rFonts w:hint="eastAsia" w:ascii="新宋体" w:hAnsi="新宋体" w:eastAsia="新宋体" w:cs="宋体"/>
                <w:sz w:val="21"/>
                <w:szCs w:val="21"/>
              </w:rPr>
              <w:t>提供详细解决方案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6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28"/>
              <w:jc w:val="center"/>
              <w:textAlignment w:val="auto"/>
              <w:rPr>
                <w:rFonts w:ascii="新宋体" w:hAnsi="新宋体" w:eastAsia="新宋体" w:cs="宋体"/>
                <w:sz w:val="21"/>
                <w:szCs w:val="21"/>
              </w:rPr>
            </w:pPr>
            <w:r>
              <w:rPr>
                <w:rFonts w:ascii="新宋体" w:hAnsi="新宋体" w:eastAsia="新宋体" w:cs="宋体"/>
                <w:sz w:val="21"/>
                <w:szCs w:val="21"/>
              </w:rPr>
              <w:t>4</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新宋体" w:hAnsi="新宋体" w:eastAsia="新宋体" w:cs="宋体"/>
                <w:sz w:val="21"/>
                <w:szCs w:val="21"/>
              </w:rPr>
            </w:pPr>
            <w:r>
              <w:rPr>
                <w:rFonts w:hint="eastAsia" w:ascii="新宋体" w:hAnsi="新宋体" w:eastAsia="新宋体" w:cs="宋体"/>
                <w:sz w:val="21"/>
                <w:szCs w:val="21"/>
              </w:rPr>
              <w:t>业务数据定制与运维能力要求</w:t>
            </w:r>
            <w:r>
              <w:rPr>
                <w:rFonts w:ascii="新宋体" w:hAnsi="新宋体" w:eastAsia="新宋体" w:cs="宋体"/>
                <w:sz w:val="21"/>
                <w:szCs w:val="21"/>
              </w:rPr>
              <w:t>25</w:t>
            </w:r>
            <w:r>
              <w:rPr>
                <w:rFonts w:hint="eastAsia" w:ascii="新宋体" w:hAnsi="新宋体" w:eastAsia="新宋体" w:cs="宋体"/>
                <w:sz w:val="21"/>
                <w:szCs w:val="21"/>
              </w:rPr>
              <w:t>%</w:t>
            </w:r>
          </w:p>
        </w:tc>
        <w:tc>
          <w:tcPr>
            <w:tcW w:w="738"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28"/>
              <w:jc w:val="center"/>
              <w:textAlignment w:val="auto"/>
              <w:rPr>
                <w:rFonts w:ascii="新宋体" w:hAnsi="新宋体" w:eastAsia="新宋体" w:cs="宋体"/>
                <w:sz w:val="21"/>
                <w:szCs w:val="21"/>
              </w:rPr>
            </w:pPr>
            <w:r>
              <w:rPr>
                <w:rFonts w:ascii="新宋体" w:hAnsi="新宋体" w:eastAsia="新宋体" w:cs="宋体"/>
                <w:sz w:val="21"/>
                <w:szCs w:val="21"/>
              </w:rPr>
              <w:t>25</w:t>
            </w:r>
            <w:r>
              <w:rPr>
                <w:rFonts w:hint="eastAsia" w:ascii="新宋体" w:hAnsi="新宋体" w:eastAsia="新宋体" w:cs="宋体"/>
                <w:sz w:val="21"/>
                <w:szCs w:val="21"/>
              </w:rPr>
              <w:t>分</w:t>
            </w:r>
          </w:p>
        </w:tc>
        <w:tc>
          <w:tcPr>
            <w:tcW w:w="3798"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新宋体" w:hAnsi="新宋体" w:eastAsia="新宋体" w:cs="宋体"/>
                <w:sz w:val="21"/>
                <w:szCs w:val="21"/>
              </w:rPr>
            </w:pPr>
            <w:r>
              <w:rPr>
                <w:rFonts w:ascii="新宋体" w:hAnsi="新宋体" w:eastAsia="新宋体" w:cs="宋体"/>
                <w:sz w:val="21"/>
                <w:szCs w:val="21"/>
              </w:rPr>
              <w:t>1</w:t>
            </w:r>
            <w:r>
              <w:rPr>
                <w:rFonts w:hint="eastAsia" w:ascii="新宋体" w:hAnsi="新宋体" w:eastAsia="新宋体" w:cs="宋体"/>
                <w:sz w:val="21"/>
                <w:szCs w:val="21"/>
              </w:rPr>
              <w:t>、提供自主开发软件可对接招标方数据业务平台，提供所有业务数据实时跟踪功能，可以溯源数据来源，为日后分析提供依据(提供软件截图证明并可提供现场演示)。</w:t>
            </w:r>
          </w:p>
          <w:p>
            <w:pPr>
              <w:keepNext w:val="0"/>
              <w:keepLines w:val="0"/>
              <w:pageBreakBefore w:val="0"/>
              <w:widowControl w:val="0"/>
              <w:kinsoku/>
              <w:wordWrap/>
              <w:overflowPunct/>
              <w:topLinePunct w:val="0"/>
              <w:autoSpaceDE/>
              <w:autoSpaceDN/>
              <w:bidi w:val="0"/>
              <w:adjustRightInd/>
              <w:snapToGrid/>
              <w:spacing w:after="120" w:line="300" w:lineRule="exact"/>
              <w:textAlignment w:val="auto"/>
              <w:rPr>
                <w:rFonts w:ascii="新宋体" w:hAnsi="新宋体" w:eastAsia="新宋体" w:cs="宋体"/>
                <w:sz w:val="21"/>
                <w:szCs w:val="21"/>
              </w:rPr>
            </w:pPr>
            <w:r>
              <w:rPr>
                <w:rFonts w:hint="eastAsia" w:ascii="新宋体" w:hAnsi="新宋体" w:eastAsia="新宋体" w:cs="宋体"/>
                <w:sz w:val="21"/>
                <w:szCs w:val="21"/>
              </w:rPr>
              <w:t>2、通过自主研发软件可对接招标方数据业务平台，提供完善的业务数据解决方案，业务场景分析功能，数据利用能力等，如</w:t>
            </w:r>
            <w:r>
              <w:rPr>
                <w:rFonts w:hint="eastAsia" w:ascii="宋体" w:hAnsi="宋体"/>
                <w:sz w:val="21"/>
              </w:rPr>
              <w:t>各个业务科室需要的数据</w:t>
            </w:r>
            <w:r>
              <w:rPr>
                <w:rFonts w:hint="eastAsia" w:ascii="新宋体" w:hAnsi="新宋体" w:eastAsia="新宋体" w:cs="宋体"/>
                <w:sz w:val="21"/>
                <w:szCs w:val="21"/>
              </w:rPr>
              <w:t>等(提供软件截图证明并可提供现场演示)。</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新宋体" w:hAnsi="新宋体" w:eastAsia="新宋体" w:cs="宋体"/>
                <w:sz w:val="21"/>
                <w:szCs w:val="21"/>
              </w:rPr>
            </w:pPr>
            <w:r>
              <w:rPr>
                <w:rFonts w:ascii="新宋体" w:hAnsi="新宋体" w:eastAsia="新宋体" w:cs="宋体"/>
                <w:sz w:val="21"/>
                <w:szCs w:val="21"/>
              </w:rPr>
              <w:t>3</w:t>
            </w:r>
            <w:r>
              <w:rPr>
                <w:rFonts w:hint="eastAsia" w:ascii="新宋体" w:hAnsi="新宋体" w:eastAsia="新宋体" w:cs="宋体"/>
                <w:sz w:val="21"/>
                <w:szCs w:val="21"/>
              </w:rPr>
              <w:t>、提供业务数据软件实施能力证明材料(实施文档、软件截图等)。</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新宋体" w:hAnsi="新宋体" w:eastAsia="新宋体" w:cs="宋体"/>
                <w:sz w:val="21"/>
                <w:szCs w:val="21"/>
              </w:rPr>
            </w:pPr>
            <w:r>
              <w:rPr>
                <w:rFonts w:hint="eastAsia" w:ascii="新宋体" w:hAnsi="新宋体" w:eastAsia="新宋体" w:cs="宋体"/>
                <w:sz w:val="21"/>
                <w:szCs w:val="21"/>
              </w:rPr>
              <w:t>4、提供各个业务科室使用场景的分析，以及演示截图。</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新宋体" w:hAnsi="新宋体" w:eastAsia="新宋体" w:cs="宋体"/>
                <w:sz w:val="21"/>
                <w:szCs w:val="21"/>
              </w:rPr>
            </w:pPr>
            <w:r>
              <w:rPr>
                <w:rFonts w:ascii="新宋体" w:hAnsi="新宋体" w:eastAsia="新宋体" w:cs="宋体"/>
                <w:sz w:val="21"/>
                <w:szCs w:val="21"/>
              </w:rPr>
              <w:t>5</w:t>
            </w:r>
            <w:r>
              <w:rPr>
                <w:rFonts w:hint="eastAsia" w:ascii="新宋体" w:hAnsi="新宋体" w:eastAsia="新宋体" w:cs="宋体"/>
                <w:sz w:val="21"/>
                <w:szCs w:val="21"/>
              </w:rPr>
              <w:t>、承诺合同签订后</w:t>
            </w:r>
            <w:r>
              <w:rPr>
                <w:rFonts w:ascii="新宋体" w:hAnsi="新宋体" w:eastAsia="新宋体" w:cs="宋体"/>
                <w:sz w:val="21"/>
                <w:szCs w:val="21"/>
              </w:rPr>
              <w:t>5</w:t>
            </w:r>
            <w:r>
              <w:rPr>
                <w:rFonts w:hint="eastAsia" w:ascii="新宋体" w:hAnsi="新宋体" w:eastAsia="新宋体" w:cs="宋体"/>
                <w:sz w:val="21"/>
                <w:szCs w:val="21"/>
              </w:rPr>
              <w:t>个工作日内能上线供招标方正常使用(需提供承诺函)。</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新宋体" w:hAnsi="新宋体" w:eastAsia="新宋体" w:cs="宋体"/>
                <w:sz w:val="21"/>
                <w:szCs w:val="21"/>
              </w:rPr>
            </w:pPr>
            <w:r>
              <w:rPr>
                <w:rFonts w:hint="eastAsia" w:ascii="新宋体" w:hAnsi="新宋体" w:eastAsia="新宋体" w:cs="宋体"/>
                <w:sz w:val="21"/>
                <w:szCs w:val="21"/>
              </w:rPr>
              <w:t>其他有一项未体现或不能满足本项目采购需求的扣</w:t>
            </w:r>
            <w:r>
              <w:rPr>
                <w:rFonts w:ascii="新宋体" w:hAnsi="新宋体" w:eastAsia="新宋体" w:cs="宋体"/>
                <w:sz w:val="21"/>
                <w:szCs w:val="21"/>
              </w:rPr>
              <w:t>5</w:t>
            </w:r>
            <w:r>
              <w:rPr>
                <w:rFonts w:hint="eastAsia" w:ascii="新宋体" w:hAnsi="新宋体" w:eastAsia="新宋体" w:cs="宋体"/>
                <w:sz w:val="21"/>
                <w:szCs w:val="21"/>
              </w:rPr>
              <w:t>分，扣完为止。</w:t>
            </w:r>
          </w:p>
        </w:tc>
        <w:tc>
          <w:tcPr>
            <w:tcW w:w="2621"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新宋体" w:hAnsi="新宋体" w:eastAsia="新宋体" w:cs="宋体"/>
                <w:sz w:val="21"/>
                <w:szCs w:val="21"/>
              </w:rPr>
            </w:pPr>
            <w:r>
              <w:rPr>
                <w:rFonts w:hint="eastAsia" w:ascii="新宋体" w:hAnsi="新宋体" w:eastAsia="新宋体" w:cs="宋体"/>
                <w:sz w:val="21"/>
                <w:szCs w:val="21"/>
              </w:rPr>
              <w:t>将招标方来源分散、多样的数据通过规范化进行融合，制定详细的业务数据运维平台，帮助各个业务科室得以加工、利用、分析数据。自主开发软件需提供自有软件著作权证明，并可根据评标要求提供现场演示。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6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28"/>
              <w:jc w:val="center"/>
              <w:textAlignment w:val="auto"/>
              <w:rPr>
                <w:rFonts w:ascii="新宋体" w:hAnsi="新宋体" w:eastAsia="新宋体" w:cs="宋体"/>
                <w:sz w:val="21"/>
                <w:szCs w:val="21"/>
              </w:rPr>
            </w:pPr>
            <w:r>
              <w:rPr>
                <w:rFonts w:ascii="新宋体" w:hAnsi="新宋体" w:eastAsia="新宋体" w:cs="宋体"/>
                <w:sz w:val="21"/>
                <w:szCs w:val="21"/>
              </w:rPr>
              <w:t>5</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679" w:leftChars="105" w:hanging="459" w:hangingChars="219"/>
              <w:jc w:val="center"/>
              <w:textAlignment w:val="auto"/>
              <w:rPr>
                <w:rFonts w:ascii="新宋体" w:hAnsi="新宋体" w:eastAsia="新宋体" w:cs="宋体"/>
                <w:sz w:val="21"/>
                <w:szCs w:val="21"/>
              </w:rPr>
            </w:pPr>
            <w:r>
              <w:rPr>
                <w:rFonts w:hint="eastAsia" w:ascii="新宋体" w:hAnsi="新宋体" w:eastAsia="新宋体" w:cs="宋体"/>
                <w:sz w:val="21"/>
                <w:szCs w:val="21"/>
              </w:rPr>
              <w:t>案例</w:t>
            </w:r>
            <w:r>
              <w:rPr>
                <w:rFonts w:ascii="新宋体" w:hAnsi="新宋体" w:eastAsia="新宋体" w:cs="宋体"/>
                <w:sz w:val="21"/>
                <w:szCs w:val="21"/>
              </w:rPr>
              <w:t>5</w:t>
            </w:r>
            <w:r>
              <w:rPr>
                <w:rFonts w:hint="eastAsia" w:ascii="新宋体" w:hAnsi="新宋体" w:eastAsia="新宋体" w:cs="宋体"/>
                <w:sz w:val="21"/>
                <w:szCs w:val="21"/>
              </w:rPr>
              <w:t>%</w:t>
            </w:r>
          </w:p>
        </w:tc>
        <w:tc>
          <w:tcPr>
            <w:tcW w:w="738"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28"/>
              <w:jc w:val="center"/>
              <w:textAlignment w:val="auto"/>
              <w:rPr>
                <w:rFonts w:ascii="新宋体" w:hAnsi="新宋体" w:eastAsia="新宋体" w:cs="宋体"/>
                <w:sz w:val="21"/>
                <w:szCs w:val="21"/>
              </w:rPr>
            </w:pPr>
            <w:r>
              <w:rPr>
                <w:rFonts w:hint="eastAsia" w:ascii="新宋体" w:hAnsi="新宋体" w:eastAsia="新宋体" w:cs="宋体"/>
                <w:sz w:val="21"/>
                <w:szCs w:val="21"/>
                <w:lang w:val="en-US" w:eastAsia="zh-CN"/>
              </w:rPr>
              <w:t>9</w:t>
            </w:r>
            <w:r>
              <w:rPr>
                <w:rFonts w:hint="eastAsia" w:ascii="新宋体" w:hAnsi="新宋体" w:eastAsia="新宋体" w:cs="宋体"/>
                <w:sz w:val="21"/>
                <w:szCs w:val="21"/>
              </w:rPr>
              <w:t>分</w:t>
            </w:r>
          </w:p>
        </w:tc>
        <w:tc>
          <w:tcPr>
            <w:tcW w:w="3798"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新宋体" w:hAnsi="新宋体" w:eastAsia="新宋体" w:cs="宋体"/>
                <w:sz w:val="21"/>
                <w:szCs w:val="21"/>
              </w:rPr>
            </w:pPr>
            <w:r>
              <w:rPr>
                <w:rFonts w:hint="eastAsia" w:ascii="新宋体" w:hAnsi="新宋体" w:eastAsia="新宋体" w:cs="宋体"/>
                <w:sz w:val="21"/>
                <w:szCs w:val="21"/>
              </w:rPr>
              <w:t>提供20</w:t>
            </w:r>
            <w:r>
              <w:rPr>
                <w:rFonts w:hint="eastAsia" w:ascii="新宋体" w:hAnsi="新宋体" w:eastAsia="新宋体" w:cs="宋体"/>
                <w:sz w:val="21"/>
                <w:szCs w:val="21"/>
                <w:lang w:val="en-US" w:eastAsia="zh-CN"/>
              </w:rPr>
              <w:t>20</w:t>
            </w:r>
            <w:r>
              <w:rPr>
                <w:rFonts w:hint="eastAsia" w:ascii="新宋体" w:hAnsi="新宋体" w:eastAsia="新宋体" w:cs="宋体"/>
                <w:sz w:val="21"/>
                <w:szCs w:val="21"/>
              </w:rPr>
              <w:t>年（以合同签订或中标日期为准）至今数据库运维案例，每提供一份</w:t>
            </w:r>
            <w:r>
              <w:rPr>
                <w:rFonts w:hint="eastAsia" w:ascii="新宋体" w:hAnsi="新宋体" w:eastAsia="新宋体" w:cs="宋体"/>
                <w:color w:val="000000"/>
                <w:sz w:val="21"/>
                <w:szCs w:val="21"/>
              </w:rPr>
              <w:t>数据库维护案例（提供合同关键页复印件加盖鲜章）得</w:t>
            </w:r>
            <w:r>
              <w:rPr>
                <w:rFonts w:ascii="新宋体" w:hAnsi="新宋体" w:eastAsia="新宋体" w:cs="宋体"/>
                <w:color w:val="000000"/>
                <w:sz w:val="21"/>
                <w:szCs w:val="21"/>
              </w:rPr>
              <w:t>1</w:t>
            </w:r>
            <w:r>
              <w:rPr>
                <w:rFonts w:hint="eastAsia" w:ascii="新宋体" w:hAnsi="新宋体" w:eastAsia="新宋体" w:cs="宋体"/>
                <w:color w:val="000000"/>
                <w:sz w:val="21"/>
                <w:szCs w:val="21"/>
              </w:rPr>
              <w:t>分，最高</w:t>
            </w:r>
            <w:r>
              <w:rPr>
                <w:rFonts w:hint="eastAsia" w:ascii="新宋体" w:hAnsi="新宋体" w:eastAsia="新宋体" w:cs="宋体"/>
                <w:color w:val="000000"/>
                <w:sz w:val="21"/>
                <w:szCs w:val="21"/>
                <w:lang w:val="en-US" w:eastAsia="zh-CN"/>
              </w:rPr>
              <w:t>9</w:t>
            </w:r>
            <w:r>
              <w:rPr>
                <w:rFonts w:hint="eastAsia" w:ascii="新宋体" w:hAnsi="新宋体" w:eastAsia="新宋体" w:cs="宋体"/>
                <w:color w:val="000000"/>
                <w:sz w:val="21"/>
                <w:szCs w:val="21"/>
              </w:rPr>
              <w:t>分（同一单位案例不重复计分）</w:t>
            </w:r>
            <w:r>
              <w:rPr>
                <w:rFonts w:hint="eastAsia" w:ascii="新宋体" w:hAnsi="新宋体" w:eastAsia="新宋体" w:cs="宋体"/>
                <w:sz w:val="21"/>
                <w:szCs w:val="21"/>
              </w:rPr>
              <w:t>。</w:t>
            </w:r>
          </w:p>
        </w:tc>
        <w:tc>
          <w:tcPr>
            <w:tcW w:w="2621"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新宋体" w:hAnsi="新宋体" w:eastAsia="新宋体" w:cs="宋体"/>
                <w:sz w:val="21"/>
                <w:szCs w:val="21"/>
              </w:rPr>
            </w:pPr>
            <w:r>
              <w:rPr>
                <w:rFonts w:hint="eastAsia" w:ascii="新宋体" w:hAnsi="新宋体" w:eastAsia="新宋体" w:cs="宋体"/>
                <w:sz w:val="21"/>
                <w:szCs w:val="21"/>
              </w:rPr>
              <w:t>提供用户名录及联系电话，同时提供合同关键页复印件并加盖投标方鲜章或中标记录（含中标通知书、网载中标记录等）等证明文件的复印件。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6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28"/>
              <w:jc w:val="center"/>
              <w:textAlignment w:val="auto"/>
              <w:rPr>
                <w:rFonts w:ascii="新宋体" w:hAnsi="新宋体" w:eastAsia="新宋体" w:cs="宋体"/>
                <w:sz w:val="21"/>
                <w:szCs w:val="21"/>
              </w:rPr>
            </w:pPr>
            <w:r>
              <w:rPr>
                <w:rFonts w:ascii="新宋体" w:hAnsi="新宋体" w:eastAsia="新宋体" w:cs="宋体"/>
                <w:sz w:val="21"/>
                <w:szCs w:val="21"/>
              </w:rPr>
              <w:t>6</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69" w:leftChars="33"/>
              <w:jc w:val="center"/>
              <w:textAlignment w:val="auto"/>
              <w:rPr>
                <w:rFonts w:ascii="新宋体" w:hAnsi="新宋体" w:eastAsia="新宋体" w:cs="宋体"/>
                <w:sz w:val="21"/>
                <w:szCs w:val="21"/>
              </w:rPr>
            </w:pPr>
            <w:r>
              <w:rPr>
                <w:rFonts w:hint="eastAsia" w:ascii="新宋体" w:hAnsi="新宋体" w:eastAsia="新宋体" w:cs="宋体"/>
                <w:sz w:val="21"/>
                <w:szCs w:val="21"/>
              </w:rPr>
              <w:t>售后服务能力</w:t>
            </w:r>
            <w:r>
              <w:rPr>
                <w:rFonts w:ascii="新宋体" w:hAnsi="新宋体" w:eastAsia="新宋体" w:cs="宋体"/>
                <w:sz w:val="21"/>
                <w:szCs w:val="21"/>
              </w:rPr>
              <w:t>5</w:t>
            </w:r>
            <w:r>
              <w:rPr>
                <w:rFonts w:hint="eastAsia" w:ascii="新宋体" w:hAnsi="新宋体" w:eastAsia="新宋体" w:cs="宋体"/>
                <w:sz w:val="21"/>
                <w:szCs w:val="21"/>
              </w:rPr>
              <w:t>%</w:t>
            </w:r>
          </w:p>
        </w:tc>
        <w:tc>
          <w:tcPr>
            <w:tcW w:w="738"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28"/>
              <w:jc w:val="center"/>
              <w:textAlignment w:val="auto"/>
              <w:rPr>
                <w:rFonts w:ascii="新宋体" w:hAnsi="新宋体" w:eastAsia="新宋体" w:cs="宋体"/>
                <w:sz w:val="21"/>
                <w:szCs w:val="21"/>
              </w:rPr>
            </w:pPr>
            <w:r>
              <w:rPr>
                <w:rFonts w:ascii="新宋体" w:hAnsi="新宋体" w:eastAsia="新宋体" w:cs="宋体"/>
                <w:sz w:val="21"/>
                <w:szCs w:val="21"/>
              </w:rPr>
              <w:t>5</w:t>
            </w:r>
            <w:r>
              <w:rPr>
                <w:rFonts w:hint="eastAsia" w:ascii="新宋体" w:hAnsi="新宋体" w:eastAsia="新宋体" w:cs="宋体"/>
                <w:sz w:val="21"/>
                <w:szCs w:val="21"/>
              </w:rPr>
              <w:t>分</w:t>
            </w:r>
          </w:p>
        </w:tc>
        <w:tc>
          <w:tcPr>
            <w:tcW w:w="3798" w:type="dxa"/>
            <w:vAlign w:val="center"/>
          </w:tcPr>
          <w:p>
            <w:pPr>
              <w:pStyle w:val="8"/>
              <w:keepNext w:val="0"/>
              <w:keepLines w:val="0"/>
              <w:pageBreakBefore w:val="0"/>
              <w:widowControl w:val="0"/>
              <w:kinsoku/>
              <w:wordWrap/>
              <w:overflowPunct/>
              <w:topLinePunct w:val="0"/>
              <w:autoSpaceDE/>
              <w:autoSpaceDN/>
              <w:bidi w:val="0"/>
              <w:adjustRightInd/>
              <w:snapToGrid/>
              <w:spacing w:line="300" w:lineRule="exact"/>
              <w:textAlignment w:val="auto"/>
              <w:rPr>
                <w:rFonts w:ascii="新宋体" w:hAnsi="新宋体" w:eastAsia="新宋体" w:cs="宋体"/>
                <w:szCs w:val="21"/>
              </w:rPr>
            </w:pPr>
            <w:r>
              <w:rPr>
                <w:rFonts w:hint="eastAsia" w:ascii="新宋体" w:hAnsi="新宋体" w:eastAsia="新宋体" w:cs="宋体"/>
                <w:szCs w:val="21"/>
              </w:rPr>
              <w:t>投标人能提供长期技术支持保障</w:t>
            </w:r>
            <w:r>
              <w:rPr>
                <w:rFonts w:ascii="新宋体" w:hAnsi="新宋体" w:eastAsia="新宋体" w:cs="宋体"/>
                <w:szCs w:val="21"/>
              </w:rPr>
              <w:t>及售后服务能力的且是</w:t>
            </w:r>
            <w:r>
              <w:rPr>
                <w:rFonts w:hint="eastAsia" w:ascii="新宋体" w:hAnsi="新宋体" w:eastAsia="新宋体" w:cs="宋体"/>
                <w:szCs w:val="21"/>
              </w:rPr>
              <w:t>四川省内</w:t>
            </w:r>
            <w:r>
              <w:rPr>
                <w:rFonts w:ascii="新宋体" w:hAnsi="新宋体" w:eastAsia="新宋体" w:cs="宋体"/>
                <w:szCs w:val="21"/>
              </w:rPr>
              <w:t>设有分公司</w:t>
            </w:r>
            <w:r>
              <w:rPr>
                <w:rFonts w:hint="eastAsia" w:ascii="新宋体" w:hAnsi="新宋体" w:eastAsia="新宋体" w:cs="宋体"/>
                <w:szCs w:val="21"/>
              </w:rPr>
              <w:t>的得5分，否则不得分。</w:t>
            </w:r>
          </w:p>
        </w:tc>
        <w:tc>
          <w:tcPr>
            <w:tcW w:w="2621"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新宋体" w:hAnsi="新宋体" w:eastAsia="新宋体" w:cs="宋体"/>
                <w:sz w:val="21"/>
                <w:szCs w:val="21"/>
              </w:rPr>
            </w:pPr>
            <w:r>
              <w:rPr>
                <w:rFonts w:hint="eastAsia" w:ascii="新宋体" w:hAnsi="新宋体" w:eastAsia="新宋体" w:cs="宋体"/>
                <w:sz w:val="21"/>
                <w:szCs w:val="21"/>
              </w:rPr>
              <w:t>（提供营业执照副本，加盖公章）。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6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28"/>
              <w:jc w:val="center"/>
              <w:textAlignment w:val="auto"/>
              <w:rPr>
                <w:rFonts w:ascii="新宋体" w:hAnsi="新宋体" w:eastAsia="新宋体" w:cs="宋体"/>
                <w:sz w:val="21"/>
                <w:szCs w:val="21"/>
              </w:rPr>
            </w:pPr>
            <w:r>
              <w:rPr>
                <w:rFonts w:ascii="新宋体" w:hAnsi="新宋体" w:eastAsia="新宋体" w:cs="宋体"/>
                <w:sz w:val="21"/>
                <w:szCs w:val="21"/>
              </w:rPr>
              <w:t>7</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107" w:leftChars="-51" w:right="-107" w:rightChars="-51"/>
              <w:jc w:val="center"/>
              <w:textAlignment w:val="auto"/>
              <w:rPr>
                <w:rFonts w:ascii="新宋体" w:hAnsi="新宋体" w:eastAsia="新宋体" w:cs="宋体"/>
                <w:sz w:val="21"/>
                <w:szCs w:val="21"/>
              </w:rPr>
            </w:pPr>
            <w:r>
              <w:rPr>
                <w:rFonts w:hint="eastAsia" w:ascii="新宋体" w:hAnsi="新宋体" w:eastAsia="新宋体" w:cs="宋体"/>
                <w:sz w:val="21"/>
                <w:szCs w:val="21"/>
              </w:rPr>
              <w:t>投标文件的规范性</w:t>
            </w:r>
            <w:r>
              <w:rPr>
                <w:rFonts w:hint="eastAsia" w:ascii="新宋体" w:hAnsi="新宋体" w:eastAsia="新宋体" w:cs="宋体"/>
                <w:sz w:val="21"/>
                <w:szCs w:val="21"/>
                <w:lang w:val="en-US" w:eastAsia="zh-CN"/>
              </w:rPr>
              <w:t>1</w:t>
            </w:r>
            <w:r>
              <w:rPr>
                <w:rFonts w:hint="eastAsia" w:ascii="新宋体" w:hAnsi="新宋体" w:eastAsia="新宋体" w:cs="宋体"/>
                <w:sz w:val="21"/>
                <w:szCs w:val="21"/>
              </w:rPr>
              <w:t>%</w:t>
            </w:r>
          </w:p>
        </w:tc>
        <w:tc>
          <w:tcPr>
            <w:tcW w:w="738"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28"/>
              <w:jc w:val="center"/>
              <w:textAlignment w:val="auto"/>
              <w:rPr>
                <w:rFonts w:ascii="新宋体" w:hAnsi="新宋体" w:eastAsia="新宋体" w:cs="宋体"/>
                <w:sz w:val="21"/>
                <w:szCs w:val="21"/>
              </w:rPr>
            </w:pPr>
            <w:r>
              <w:rPr>
                <w:rFonts w:hint="eastAsia" w:ascii="新宋体" w:hAnsi="新宋体" w:eastAsia="新宋体" w:cs="宋体"/>
                <w:sz w:val="21"/>
                <w:szCs w:val="21"/>
                <w:lang w:val="en-US" w:eastAsia="zh-CN"/>
              </w:rPr>
              <w:t>1</w:t>
            </w:r>
            <w:r>
              <w:rPr>
                <w:rFonts w:hint="eastAsia" w:ascii="新宋体" w:hAnsi="新宋体" w:eastAsia="新宋体" w:cs="宋体"/>
                <w:sz w:val="21"/>
                <w:szCs w:val="21"/>
              </w:rPr>
              <w:t>分</w:t>
            </w:r>
          </w:p>
        </w:tc>
        <w:tc>
          <w:tcPr>
            <w:tcW w:w="3798"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新宋体" w:hAnsi="新宋体" w:eastAsia="新宋体" w:cs="宋体"/>
                <w:sz w:val="21"/>
                <w:szCs w:val="21"/>
              </w:rPr>
            </w:pPr>
            <w:r>
              <w:rPr>
                <w:rFonts w:hint="eastAsia" w:ascii="新宋体" w:hAnsi="新宋体" w:eastAsia="新宋体" w:cs="宋体"/>
                <w:sz w:val="21"/>
                <w:szCs w:val="21"/>
              </w:rPr>
              <w:t>投标文件制作规范，没有细微偏差情形的得</w:t>
            </w:r>
            <w:r>
              <w:rPr>
                <w:rFonts w:ascii="新宋体" w:hAnsi="新宋体" w:eastAsia="新宋体" w:cs="宋体"/>
                <w:sz w:val="21"/>
                <w:szCs w:val="21"/>
              </w:rPr>
              <w:t>5</w:t>
            </w:r>
            <w:r>
              <w:rPr>
                <w:rFonts w:hint="eastAsia" w:ascii="新宋体" w:hAnsi="新宋体" w:eastAsia="新宋体" w:cs="宋体"/>
                <w:sz w:val="21"/>
                <w:szCs w:val="21"/>
              </w:rPr>
              <w:t>分；有一项细微偏差扣1分，直至该项分值扣完为止。没有评分指引的不得分。</w:t>
            </w:r>
          </w:p>
        </w:tc>
        <w:tc>
          <w:tcPr>
            <w:tcW w:w="2621"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新宋体" w:hAnsi="新宋体" w:eastAsia="新宋体" w:cs="宋体"/>
                <w:sz w:val="21"/>
                <w:szCs w:val="21"/>
              </w:rPr>
            </w:pPr>
            <w:bookmarkStart w:id="52" w:name="_GoBack"/>
            <w:bookmarkEnd w:id="52"/>
          </w:p>
        </w:tc>
      </w:tr>
    </w:tbl>
    <w:p>
      <w:pPr>
        <w:widowControl/>
        <w:adjustRightInd w:val="0"/>
        <w:snapToGrid w:val="0"/>
        <w:spacing w:line="400" w:lineRule="exact"/>
        <w:jc w:val="left"/>
        <w:rPr>
          <w:rFonts w:ascii="Times New Roman" w:hAnsi="Times New Roman"/>
          <w:b/>
          <w:bCs/>
          <w:kern w:val="0"/>
          <w:sz w:val="24"/>
          <w:szCs w:val="20"/>
        </w:rPr>
      </w:pPr>
    </w:p>
    <w:sectPr>
      <w:pgSz w:w="11906" w:h="16838"/>
      <w:pgMar w:top="1440" w:right="1800" w:bottom="11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9" w:usb3="00000000" w:csb0="2000019F" w:csb1="00000000"/>
  </w:font>
  <w:font w:name="Arial Rounded MT Bold">
    <w:panose1 w:val="020F0704030504030204"/>
    <w:charset w:val="00"/>
    <w:family w:val="auto"/>
    <w:pitch w:val="default"/>
    <w:sig w:usb0="00000003" w:usb1="00000000" w:usb2="00000000" w:usb3="00000000" w:csb0="20000001" w:csb1="00000000"/>
  </w:font>
  <w:font w:name="Cambria">
    <w:panose1 w:val="020405030504060A0204"/>
    <w:charset w:val="00"/>
    <w:family w:val="roman"/>
    <w:pitch w:val="default"/>
    <w:sig w:usb0="E00002FF" w:usb1="4000045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kYjQ1ZTBiYjA5ZmVjNzc5MWE0Y2Q2MzdiYjZhYzYifQ=="/>
  </w:docVars>
  <w:rsids>
    <w:rsidRoot w:val="0045476D"/>
    <w:rsid w:val="00063601"/>
    <w:rsid w:val="0008247D"/>
    <w:rsid w:val="000D5889"/>
    <w:rsid w:val="001808AA"/>
    <w:rsid w:val="001B3373"/>
    <w:rsid w:val="001B5153"/>
    <w:rsid w:val="001F40B1"/>
    <w:rsid w:val="001F533E"/>
    <w:rsid w:val="001F7554"/>
    <w:rsid w:val="00214E40"/>
    <w:rsid w:val="00241C12"/>
    <w:rsid w:val="0024242E"/>
    <w:rsid w:val="00271E22"/>
    <w:rsid w:val="00272CB7"/>
    <w:rsid w:val="002913B3"/>
    <w:rsid w:val="00304FE4"/>
    <w:rsid w:val="003F05E7"/>
    <w:rsid w:val="0045476D"/>
    <w:rsid w:val="00535C13"/>
    <w:rsid w:val="00584752"/>
    <w:rsid w:val="0060439E"/>
    <w:rsid w:val="006055D3"/>
    <w:rsid w:val="006463B9"/>
    <w:rsid w:val="00667139"/>
    <w:rsid w:val="00711BA3"/>
    <w:rsid w:val="00790670"/>
    <w:rsid w:val="007A01C9"/>
    <w:rsid w:val="007A7156"/>
    <w:rsid w:val="007B6CE6"/>
    <w:rsid w:val="007C5657"/>
    <w:rsid w:val="007E17BF"/>
    <w:rsid w:val="007F0216"/>
    <w:rsid w:val="00865A13"/>
    <w:rsid w:val="008A160F"/>
    <w:rsid w:val="008B144F"/>
    <w:rsid w:val="008D75D8"/>
    <w:rsid w:val="00913048"/>
    <w:rsid w:val="00925A96"/>
    <w:rsid w:val="00927DF2"/>
    <w:rsid w:val="00935919"/>
    <w:rsid w:val="009771DF"/>
    <w:rsid w:val="00985882"/>
    <w:rsid w:val="009D3B27"/>
    <w:rsid w:val="00A005F7"/>
    <w:rsid w:val="00A2422E"/>
    <w:rsid w:val="00A53362"/>
    <w:rsid w:val="00AE2F1C"/>
    <w:rsid w:val="00B316F5"/>
    <w:rsid w:val="00B53FCB"/>
    <w:rsid w:val="00B75F48"/>
    <w:rsid w:val="00BA33DF"/>
    <w:rsid w:val="00BA7D4B"/>
    <w:rsid w:val="00BE5222"/>
    <w:rsid w:val="00C32239"/>
    <w:rsid w:val="00C41F0F"/>
    <w:rsid w:val="00C44043"/>
    <w:rsid w:val="00C84C99"/>
    <w:rsid w:val="00C90999"/>
    <w:rsid w:val="00CA567C"/>
    <w:rsid w:val="00CD18BB"/>
    <w:rsid w:val="00CD65B9"/>
    <w:rsid w:val="00D97302"/>
    <w:rsid w:val="00DD4D9F"/>
    <w:rsid w:val="00E123E6"/>
    <w:rsid w:val="00E231BF"/>
    <w:rsid w:val="00E36829"/>
    <w:rsid w:val="00EC1C6A"/>
    <w:rsid w:val="00ED585E"/>
    <w:rsid w:val="00F65A99"/>
    <w:rsid w:val="00FF11D3"/>
    <w:rsid w:val="015123B9"/>
    <w:rsid w:val="03950B2C"/>
    <w:rsid w:val="04B31E4B"/>
    <w:rsid w:val="05C557BD"/>
    <w:rsid w:val="062F07EF"/>
    <w:rsid w:val="074D53D1"/>
    <w:rsid w:val="09212671"/>
    <w:rsid w:val="0935611C"/>
    <w:rsid w:val="0AD4362E"/>
    <w:rsid w:val="0AFA5A96"/>
    <w:rsid w:val="0BD15580"/>
    <w:rsid w:val="0CF32576"/>
    <w:rsid w:val="0D9D5D5A"/>
    <w:rsid w:val="0DAC4D70"/>
    <w:rsid w:val="0E677033"/>
    <w:rsid w:val="0E7F1957"/>
    <w:rsid w:val="0EDB7766"/>
    <w:rsid w:val="128B3251"/>
    <w:rsid w:val="134F0723"/>
    <w:rsid w:val="1609096F"/>
    <w:rsid w:val="17006A33"/>
    <w:rsid w:val="17122347"/>
    <w:rsid w:val="1A1B79A2"/>
    <w:rsid w:val="1B4D05AA"/>
    <w:rsid w:val="1C5465B8"/>
    <w:rsid w:val="1F2324A2"/>
    <w:rsid w:val="20A2053B"/>
    <w:rsid w:val="20D54F08"/>
    <w:rsid w:val="222A1BFB"/>
    <w:rsid w:val="225F373F"/>
    <w:rsid w:val="23894181"/>
    <w:rsid w:val="23AB72AF"/>
    <w:rsid w:val="23B377CD"/>
    <w:rsid w:val="247F6619"/>
    <w:rsid w:val="257E01C7"/>
    <w:rsid w:val="259721E1"/>
    <w:rsid w:val="25F413E1"/>
    <w:rsid w:val="27AC1848"/>
    <w:rsid w:val="29A7364C"/>
    <w:rsid w:val="29B844D4"/>
    <w:rsid w:val="2A092A55"/>
    <w:rsid w:val="2A254896"/>
    <w:rsid w:val="2BD31A99"/>
    <w:rsid w:val="2BE165BF"/>
    <w:rsid w:val="2E6A3250"/>
    <w:rsid w:val="2F6B655C"/>
    <w:rsid w:val="2FB70420"/>
    <w:rsid w:val="30E30134"/>
    <w:rsid w:val="3284589B"/>
    <w:rsid w:val="33082863"/>
    <w:rsid w:val="33D16649"/>
    <w:rsid w:val="35DF103A"/>
    <w:rsid w:val="37734130"/>
    <w:rsid w:val="389C77EA"/>
    <w:rsid w:val="39910F9D"/>
    <w:rsid w:val="3BF758E5"/>
    <w:rsid w:val="3E1B038F"/>
    <w:rsid w:val="404B329C"/>
    <w:rsid w:val="40C109DE"/>
    <w:rsid w:val="418A41D1"/>
    <w:rsid w:val="41B02916"/>
    <w:rsid w:val="469A2D22"/>
    <w:rsid w:val="49D2118A"/>
    <w:rsid w:val="4C2C6594"/>
    <w:rsid w:val="4CA54934"/>
    <w:rsid w:val="508E3344"/>
    <w:rsid w:val="50CD4459"/>
    <w:rsid w:val="50D15CF8"/>
    <w:rsid w:val="51066F16"/>
    <w:rsid w:val="518B2019"/>
    <w:rsid w:val="51935AB4"/>
    <w:rsid w:val="521511CC"/>
    <w:rsid w:val="529E2EE6"/>
    <w:rsid w:val="530A54F1"/>
    <w:rsid w:val="55F7458E"/>
    <w:rsid w:val="568140A3"/>
    <w:rsid w:val="579A3611"/>
    <w:rsid w:val="58BA1F78"/>
    <w:rsid w:val="5AAD383C"/>
    <w:rsid w:val="5AB7502D"/>
    <w:rsid w:val="5BF154A0"/>
    <w:rsid w:val="5D3338A8"/>
    <w:rsid w:val="5D8F1A56"/>
    <w:rsid w:val="5DEF0CB7"/>
    <w:rsid w:val="611E7ED2"/>
    <w:rsid w:val="62D11BF0"/>
    <w:rsid w:val="63A453C5"/>
    <w:rsid w:val="659F01D8"/>
    <w:rsid w:val="65D5198E"/>
    <w:rsid w:val="68B977C1"/>
    <w:rsid w:val="68E55C6E"/>
    <w:rsid w:val="69E4351C"/>
    <w:rsid w:val="6A0135C5"/>
    <w:rsid w:val="6A4F2F1A"/>
    <w:rsid w:val="6AFC1282"/>
    <w:rsid w:val="6B8A20A2"/>
    <w:rsid w:val="6C320399"/>
    <w:rsid w:val="6F514ADE"/>
    <w:rsid w:val="6F833AC6"/>
    <w:rsid w:val="6F8578E7"/>
    <w:rsid w:val="72B059E8"/>
    <w:rsid w:val="732C647B"/>
    <w:rsid w:val="75410DEE"/>
    <w:rsid w:val="779D0503"/>
    <w:rsid w:val="782212EF"/>
    <w:rsid w:val="78F61C8E"/>
    <w:rsid w:val="797337AA"/>
    <w:rsid w:val="79B36B4C"/>
    <w:rsid w:val="7AB7598A"/>
    <w:rsid w:val="7C3F13C0"/>
    <w:rsid w:val="7D6628B2"/>
    <w:rsid w:val="7D8D4B15"/>
    <w:rsid w:val="7F6000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0"/>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31"/>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840" w:leftChars="200" w:hanging="420" w:hangingChars="200"/>
    </w:pPr>
  </w:style>
  <w:style w:type="paragraph" w:styleId="6">
    <w:name w:val="Normal Indent"/>
    <w:basedOn w:val="1"/>
    <w:qFormat/>
    <w:uiPriority w:val="0"/>
    <w:pPr>
      <w:widowControl/>
      <w:spacing w:line="360" w:lineRule="auto"/>
      <w:ind w:firstLine="420"/>
      <w:jc w:val="left"/>
    </w:pPr>
    <w:rPr>
      <w:rFonts w:ascii="宋体" w:hAnsi="宋体"/>
      <w:kern w:val="0"/>
      <w:szCs w:val="20"/>
    </w:rPr>
  </w:style>
  <w:style w:type="paragraph" w:styleId="7">
    <w:name w:val="annotation text"/>
    <w:basedOn w:val="1"/>
    <w:link w:val="57"/>
    <w:qFormat/>
    <w:uiPriority w:val="0"/>
    <w:pPr>
      <w:jc w:val="left"/>
    </w:pPr>
    <w:rPr>
      <w:rFonts w:ascii="Times New Roman" w:hAnsi="Times New Roman"/>
    </w:rPr>
  </w:style>
  <w:style w:type="paragraph" w:styleId="8">
    <w:name w:val="Body Text"/>
    <w:basedOn w:val="1"/>
    <w:link w:val="50"/>
    <w:qFormat/>
    <w:uiPriority w:val="0"/>
    <w:pPr>
      <w:spacing w:after="120"/>
    </w:pPr>
    <w:rPr>
      <w:rFonts w:ascii="Times New Roman" w:hAnsi="Times New Roman"/>
    </w:rPr>
  </w:style>
  <w:style w:type="paragraph" w:styleId="9">
    <w:name w:val="Body Text Indent"/>
    <w:basedOn w:val="1"/>
    <w:link w:val="51"/>
    <w:qFormat/>
    <w:uiPriority w:val="0"/>
    <w:pPr>
      <w:spacing w:after="120"/>
      <w:ind w:left="420" w:leftChars="200"/>
    </w:pPr>
    <w:rPr>
      <w:rFonts w:ascii="Times New Roman" w:hAnsi="Times New Roman"/>
    </w:rPr>
  </w:style>
  <w:style w:type="paragraph" w:styleId="10">
    <w:name w:val="toc 3"/>
    <w:basedOn w:val="1"/>
    <w:next w:val="1"/>
    <w:qFormat/>
    <w:uiPriority w:val="39"/>
    <w:pPr>
      <w:ind w:left="840" w:leftChars="400"/>
    </w:pPr>
  </w:style>
  <w:style w:type="paragraph" w:styleId="11">
    <w:name w:val="Plain Text"/>
    <w:basedOn w:val="1"/>
    <w:link w:val="67"/>
    <w:qFormat/>
    <w:uiPriority w:val="0"/>
    <w:rPr>
      <w:rFonts w:ascii="宋体" w:hAnsi="Courier New" w:cs="Courier New"/>
      <w:szCs w:val="21"/>
    </w:rPr>
  </w:style>
  <w:style w:type="paragraph" w:styleId="12">
    <w:name w:val="Date"/>
    <w:basedOn w:val="1"/>
    <w:next w:val="1"/>
    <w:link w:val="56"/>
    <w:qFormat/>
    <w:uiPriority w:val="0"/>
    <w:pPr>
      <w:ind w:left="100" w:leftChars="2500"/>
    </w:pPr>
    <w:rPr>
      <w:rFonts w:ascii="Times New Roman" w:hAnsi="Times New Roman"/>
    </w:rPr>
  </w:style>
  <w:style w:type="paragraph" w:styleId="13">
    <w:name w:val="Body Text Indent 2"/>
    <w:basedOn w:val="1"/>
    <w:link w:val="55"/>
    <w:qFormat/>
    <w:uiPriority w:val="0"/>
    <w:pPr>
      <w:spacing w:after="120" w:line="480" w:lineRule="auto"/>
      <w:ind w:left="420" w:leftChars="200"/>
    </w:pPr>
  </w:style>
  <w:style w:type="paragraph" w:styleId="14">
    <w:name w:val="Balloon Text"/>
    <w:basedOn w:val="1"/>
    <w:link w:val="66"/>
    <w:qFormat/>
    <w:uiPriority w:val="0"/>
    <w:rPr>
      <w:rFonts w:ascii="Times New Roman" w:hAnsi="Times New Roman"/>
      <w:sz w:val="18"/>
      <w:szCs w:val="18"/>
    </w:rPr>
  </w:style>
  <w:style w:type="paragraph" w:styleId="15">
    <w:name w:val="footer"/>
    <w:basedOn w:val="1"/>
    <w:link w:val="65"/>
    <w:qFormat/>
    <w:uiPriority w:val="99"/>
    <w:pPr>
      <w:tabs>
        <w:tab w:val="center" w:pos="4153"/>
        <w:tab w:val="right" w:pos="8306"/>
      </w:tabs>
      <w:snapToGrid w:val="0"/>
      <w:jc w:val="left"/>
    </w:pPr>
    <w:rPr>
      <w:rFonts w:ascii="Times New Roman" w:hAnsi="Times New Roman"/>
      <w:sz w:val="18"/>
      <w:szCs w:val="18"/>
    </w:rPr>
  </w:style>
  <w:style w:type="paragraph" w:styleId="16">
    <w:name w:val="header"/>
    <w:basedOn w:val="1"/>
    <w:link w:val="69"/>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7">
    <w:name w:val="toc 1"/>
    <w:basedOn w:val="1"/>
    <w:next w:val="1"/>
    <w:qFormat/>
    <w:uiPriority w:val="39"/>
    <w:pPr>
      <w:tabs>
        <w:tab w:val="left" w:pos="510"/>
        <w:tab w:val="right" w:leader="dot" w:pos="8296"/>
      </w:tabs>
      <w:spacing w:line="360" w:lineRule="auto"/>
    </w:pPr>
  </w:style>
  <w:style w:type="paragraph" w:styleId="18">
    <w:name w:val="toc 2"/>
    <w:basedOn w:val="1"/>
    <w:next w:val="1"/>
    <w:qFormat/>
    <w:uiPriority w:val="39"/>
    <w:pPr>
      <w:tabs>
        <w:tab w:val="right" w:leader="dot" w:pos="8296"/>
      </w:tabs>
      <w:ind w:left="420" w:leftChars="200"/>
    </w:p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Title"/>
    <w:basedOn w:val="1"/>
    <w:next w:val="1"/>
    <w:link w:val="54"/>
    <w:qFormat/>
    <w:uiPriority w:val="0"/>
    <w:pPr>
      <w:spacing w:before="240" w:after="60"/>
      <w:jc w:val="center"/>
      <w:outlineLvl w:val="0"/>
    </w:pPr>
    <w:rPr>
      <w:rFonts w:ascii="Cambria" w:hAnsi="Cambria"/>
      <w:b/>
      <w:bCs/>
      <w:sz w:val="32"/>
      <w:szCs w:val="32"/>
    </w:rPr>
  </w:style>
  <w:style w:type="paragraph" w:styleId="21">
    <w:name w:val="annotation subject"/>
    <w:basedOn w:val="7"/>
    <w:next w:val="7"/>
    <w:link w:val="62"/>
    <w:qFormat/>
    <w:uiPriority w:val="0"/>
    <w:rPr>
      <w:b/>
      <w:bCs/>
    </w:rPr>
  </w:style>
  <w:style w:type="character" w:styleId="24">
    <w:name w:val="Strong"/>
    <w:qFormat/>
    <w:uiPriority w:val="0"/>
    <w:rPr>
      <w:b/>
      <w:bCs/>
    </w:rPr>
  </w:style>
  <w:style w:type="character" w:styleId="25">
    <w:name w:val="page number"/>
    <w:basedOn w:val="23"/>
    <w:qFormat/>
    <w:uiPriority w:val="0"/>
  </w:style>
  <w:style w:type="character" w:styleId="26">
    <w:name w:val="FollowedHyperlink"/>
    <w:basedOn w:val="23"/>
    <w:qFormat/>
    <w:uiPriority w:val="0"/>
    <w:rPr>
      <w:color w:val="800080" w:themeColor="followedHyperlink"/>
      <w:u w:val="single"/>
      <w14:textFill>
        <w14:solidFill>
          <w14:schemeClr w14:val="folHlink"/>
        </w14:solidFill>
      </w14:textFill>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标题 1 字符"/>
    <w:basedOn w:val="23"/>
    <w:link w:val="3"/>
    <w:qFormat/>
    <w:uiPriority w:val="0"/>
    <w:rPr>
      <w:rFonts w:ascii="Calibri" w:hAnsi="Calibri"/>
      <w:b/>
      <w:bCs/>
      <w:kern w:val="44"/>
      <w:sz w:val="44"/>
      <w:szCs w:val="44"/>
    </w:rPr>
  </w:style>
  <w:style w:type="character" w:customStyle="1" w:styleId="30">
    <w:name w:val="标题 2 字符"/>
    <w:basedOn w:val="23"/>
    <w:link w:val="4"/>
    <w:qFormat/>
    <w:uiPriority w:val="0"/>
    <w:rPr>
      <w:rFonts w:ascii="Arial" w:hAnsi="Arial" w:eastAsia="黑体"/>
      <w:b/>
      <w:bCs/>
      <w:sz w:val="32"/>
      <w:szCs w:val="32"/>
    </w:rPr>
  </w:style>
  <w:style w:type="character" w:customStyle="1" w:styleId="31">
    <w:name w:val="标题 3 字符"/>
    <w:basedOn w:val="23"/>
    <w:link w:val="5"/>
    <w:qFormat/>
    <w:uiPriority w:val="0"/>
    <w:rPr>
      <w:rFonts w:ascii="Calibri" w:hAnsi="Calibri"/>
      <w:b/>
      <w:bCs/>
      <w:kern w:val="2"/>
      <w:sz w:val="32"/>
      <w:szCs w:val="32"/>
    </w:rPr>
  </w:style>
  <w:style w:type="character" w:customStyle="1" w:styleId="32">
    <w:name w:val="批注框文本 Char"/>
    <w:qFormat/>
    <w:uiPriority w:val="0"/>
    <w:rPr>
      <w:kern w:val="2"/>
      <w:sz w:val="18"/>
      <w:szCs w:val="18"/>
    </w:rPr>
  </w:style>
  <w:style w:type="character" w:customStyle="1" w:styleId="33">
    <w:name w:val="纯文本 Char1"/>
    <w:unhideWhenUsed/>
    <w:qFormat/>
    <w:uiPriority w:val="99"/>
    <w:rPr>
      <w:rFonts w:hint="eastAsia" w:ascii="宋体" w:hAnsi="Tms Rmn" w:eastAsia="宋体"/>
      <w:sz w:val="21"/>
      <w:lang w:val="en-US" w:eastAsia="zh-CN"/>
    </w:rPr>
  </w:style>
  <w:style w:type="character" w:customStyle="1" w:styleId="34">
    <w:name w:val="页眉 Char"/>
    <w:qFormat/>
    <w:uiPriority w:val="0"/>
    <w:rPr>
      <w:kern w:val="2"/>
      <w:sz w:val="18"/>
      <w:szCs w:val="18"/>
    </w:rPr>
  </w:style>
  <w:style w:type="character" w:customStyle="1" w:styleId="35">
    <w:name w:val="正文文本缩进 Char"/>
    <w:qFormat/>
    <w:uiPriority w:val="0"/>
    <w:rPr>
      <w:kern w:val="2"/>
      <w:sz w:val="21"/>
      <w:szCs w:val="24"/>
    </w:rPr>
  </w:style>
  <w:style w:type="character" w:customStyle="1" w:styleId="36">
    <w:name w:val="批注主题 Char"/>
    <w:qFormat/>
    <w:uiPriority w:val="0"/>
    <w:rPr>
      <w:b/>
      <w:bCs/>
      <w:kern w:val="2"/>
      <w:sz w:val="21"/>
      <w:szCs w:val="24"/>
    </w:rPr>
  </w:style>
  <w:style w:type="paragraph" w:customStyle="1" w:styleId="37">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8">
    <w:name w:val="apple-converted-space"/>
    <w:basedOn w:val="23"/>
    <w:qFormat/>
    <w:uiPriority w:val="0"/>
  </w:style>
  <w:style w:type="character" w:customStyle="1" w:styleId="39">
    <w:name w:val="纯文本 Char"/>
    <w:qFormat/>
    <w:locked/>
    <w:uiPriority w:val="0"/>
    <w:rPr>
      <w:rFonts w:ascii="宋体" w:hAnsi="Courier New" w:cs="Courier New"/>
      <w:kern w:val="2"/>
      <w:sz w:val="21"/>
      <w:szCs w:val="21"/>
    </w:rPr>
  </w:style>
  <w:style w:type="character" w:customStyle="1" w:styleId="40">
    <w:name w:val="日期 Char"/>
    <w:qFormat/>
    <w:uiPriority w:val="0"/>
    <w:rPr>
      <w:kern w:val="2"/>
      <w:sz w:val="21"/>
      <w:szCs w:val="24"/>
    </w:rPr>
  </w:style>
  <w:style w:type="character" w:customStyle="1" w:styleId="41">
    <w:name w:val="正文文本 Char"/>
    <w:qFormat/>
    <w:uiPriority w:val="0"/>
    <w:rPr>
      <w:kern w:val="2"/>
      <w:sz w:val="21"/>
      <w:szCs w:val="24"/>
    </w:rPr>
  </w:style>
  <w:style w:type="character" w:customStyle="1" w:styleId="42">
    <w:name w:val="标题 Char"/>
    <w:qFormat/>
    <w:locked/>
    <w:uiPriority w:val="0"/>
    <w:rPr>
      <w:rFonts w:ascii="Cambria" w:hAnsi="Cambria"/>
      <w:b/>
      <w:bCs/>
      <w:kern w:val="2"/>
      <w:sz w:val="32"/>
      <w:szCs w:val="32"/>
    </w:rPr>
  </w:style>
  <w:style w:type="character" w:customStyle="1" w:styleId="43">
    <w:name w:val="正文首行缩进两字符 Char Char"/>
    <w:link w:val="44"/>
    <w:qFormat/>
    <w:locked/>
    <w:uiPriority w:val="99"/>
    <w:rPr>
      <w:kern w:val="2"/>
      <w:sz w:val="21"/>
    </w:rPr>
  </w:style>
  <w:style w:type="paragraph" w:customStyle="1" w:styleId="44">
    <w:name w:val="正文首行缩进两字符"/>
    <w:basedOn w:val="1"/>
    <w:link w:val="43"/>
    <w:qFormat/>
    <w:uiPriority w:val="99"/>
    <w:pPr>
      <w:spacing w:line="360" w:lineRule="auto"/>
      <w:ind w:firstLine="200" w:firstLineChars="200"/>
    </w:pPr>
    <w:rPr>
      <w:rFonts w:ascii="Times New Roman" w:hAnsi="Times New Roman"/>
      <w:szCs w:val="20"/>
    </w:rPr>
  </w:style>
  <w:style w:type="character" w:customStyle="1" w:styleId="45">
    <w:name w:val="批注文字 Char"/>
    <w:qFormat/>
    <w:uiPriority w:val="0"/>
    <w:rPr>
      <w:kern w:val="2"/>
      <w:sz w:val="21"/>
      <w:szCs w:val="24"/>
    </w:rPr>
  </w:style>
  <w:style w:type="character" w:customStyle="1" w:styleId="46">
    <w:name w:val="NormalCharacter"/>
    <w:qFormat/>
    <w:uiPriority w:val="0"/>
  </w:style>
  <w:style w:type="character" w:customStyle="1" w:styleId="47">
    <w:name w:val="页脚 Char"/>
    <w:qFormat/>
    <w:uiPriority w:val="99"/>
    <w:rPr>
      <w:kern w:val="2"/>
      <w:sz w:val="18"/>
      <w:szCs w:val="18"/>
    </w:rPr>
  </w:style>
  <w:style w:type="paragraph" w:customStyle="1" w:styleId="48">
    <w:name w:val="中等深浅网格 1 - 着色 21"/>
    <w:basedOn w:val="1"/>
    <w:qFormat/>
    <w:uiPriority w:val="34"/>
    <w:pPr>
      <w:ind w:firstLine="420" w:firstLineChars="200"/>
    </w:pPr>
    <w:rPr>
      <w:sz w:val="20"/>
      <w:szCs w:val="20"/>
    </w:rPr>
  </w:style>
  <w:style w:type="paragraph" w:customStyle="1" w:styleId="49">
    <w:name w:val="图表左对齐"/>
    <w:basedOn w:val="1"/>
    <w:qFormat/>
    <w:uiPriority w:val="0"/>
    <w:pPr>
      <w:widowControl/>
      <w:spacing w:line="360" w:lineRule="exact"/>
      <w:jc w:val="left"/>
    </w:pPr>
    <w:rPr>
      <w:spacing w:val="-10"/>
      <w:kern w:val="0"/>
      <w:sz w:val="24"/>
      <w:szCs w:val="28"/>
    </w:rPr>
  </w:style>
  <w:style w:type="character" w:customStyle="1" w:styleId="50">
    <w:name w:val="正文文本 字符"/>
    <w:basedOn w:val="23"/>
    <w:link w:val="8"/>
    <w:qFormat/>
    <w:uiPriority w:val="0"/>
    <w:rPr>
      <w:rFonts w:ascii="Calibri" w:hAnsi="Calibri"/>
      <w:kern w:val="2"/>
      <w:sz w:val="21"/>
      <w:szCs w:val="24"/>
    </w:rPr>
  </w:style>
  <w:style w:type="character" w:customStyle="1" w:styleId="51">
    <w:name w:val="正文文本缩进 字符"/>
    <w:basedOn w:val="23"/>
    <w:link w:val="9"/>
    <w:qFormat/>
    <w:uiPriority w:val="0"/>
    <w:rPr>
      <w:rFonts w:ascii="Calibri" w:hAnsi="Calibri"/>
      <w:kern w:val="2"/>
      <w:sz w:val="21"/>
      <w:szCs w:val="24"/>
    </w:rPr>
  </w:style>
  <w:style w:type="paragraph" w:styleId="52">
    <w:name w:val="List Paragraph"/>
    <w:basedOn w:val="1"/>
    <w:qFormat/>
    <w:uiPriority w:val="34"/>
    <w:pPr>
      <w:ind w:firstLine="420" w:firstLineChars="200"/>
    </w:pPr>
  </w:style>
  <w:style w:type="paragraph" w:customStyle="1" w:styleId="5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4">
    <w:name w:val="标题 字符"/>
    <w:basedOn w:val="23"/>
    <w:link w:val="20"/>
    <w:qFormat/>
    <w:uiPriority w:val="0"/>
    <w:rPr>
      <w:rFonts w:asciiTheme="majorHAnsi" w:hAnsiTheme="majorHAnsi" w:cstheme="majorBidi"/>
      <w:b/>
      <w:bCs/>
      <w:kern w:val="2"/>
      <w:sz w:val="32"/>
      <w:szCs w:val="32"/>
    </w:rPr>
  </w:style>
  <w:style w:type="character" w:customStyle="1" w:styleId="55">
    <w:name w:val="正文文本缩进 2 字符"/>
    <w:basedOn w:val="23"/>
    <w:link w:val="13"/>
    <w:qFormat/>
    <w:uiPriority w:val="0"/>
    <w:rPr>
      <w:rFonts w:ascii="Calibri" w:hAnsi="Calibri"/>
      <w:kern w:val="2"/>
      <w:sz w:val="21"/>
      <w:szCs w:val="24"/>
    </w:rPr>
  </w:style>
  <w:style w:type="character" w:customStyle="1" w:styleId="56">
    <w:name w:val="日期 字符"/>
    <w:basedOn w:val="23"/>
    <w:link w:val="12"/>
    <w:qFormat/>
    <w:uiPriority w:val="0"/>
    <w:rPr>
      <w:rFonts w:ascii="Calibri" w:hAnsi="Calibri"/>
      <w:kern w:val="2"/>
      <w:sz w:val="21"/>
      <w:szCs w:val="24"/>
    </w:rPr>
  </w:style>
  <w:style w:type="character" w:customStyle="1" w:styleId="57">
    <w:name w:val="批注文字 字符"/>
    <w:basedOn w:val="23"/>
    <w:link w:val="7"/>
    <w:qFormat/>
    <w:uiPriority w:val="0"/>
    <w:rPr>
      <w:rFonts w:ascii="Calibri" w:hAnsi="Calibri"/>
      <w:kern w:val="2"/>
      <w:sz w:val="21"/>
      <w:szCs w:val="24"/>
    </w:rPr>
  </w:style>
  <w:style w:type="paragraph" w:customStyle="1" w:styleId="58">
    <w:name w:val="样式 首行缩进:  2 字符"/>
    <w:basedOn w:val="1"/>
    <w:qFormat/>
    <w:uiPriority w:val="0"/>
    <w:pPr>
      <w:spacing w:line="400" w:lineRule="exact"/>
      <w:ind w:firstLine="200" w:firstLineChars="200"/>
    </w:pPr>
    <w:rPr>
      <w:rFonts w:cs="宋体"/>
      <w:sz w:val="24"/>
    </w:rPr>
  </w:style>
  <w:style w:type="paragraph" w:styleId="59">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0">
    <w:name w:val="Char1 Char Char Char Char Char Char"/>
    <w:basedOn w:val="1"/>
    <w:qFormat/>
    <w:uiPriority w:val="0"/>
    <w:rPr>
      <w:rFonts w:ascii="Tahoma" w:hAnsi="Tahoma"/>
      <w:sz w:val="24"/>
      <w:szCs w:val="20"/>
    </w:rPr>
  </w:style>
  <w:style w:type="paragraph" w:customStyle="1" w:styleId="61">
    <w:name w:val="p0"/>
    <w:basedOn w:val="1"/>
    <w:qFormat/>
    <w:uiPriority w:val="99"/>
    <w:pPr>
      <w:widowControl/>
    </w:pPr>
    <w:rPr>
      <w:kern w:val="0"/>
      <w:szCs w:val="20"/>
    </w:rPr>
  </w:style>
  <w:style w:type="character" w:customStyle="1" w:styleId="62">
    <w:name w:val="批注主题 字符"/>
    <w:basedOn w:val="57"/>
    <w:link w:val="21"/>
    <w:qFormat/>
    <w:uiPriority w:val="0"/>
    <w:rPr>
      <w:rFonts w:ascii="Calibri" w:hAnsi="Calibri"/>
      <w:b/>
      <w:bCs/>
      <w:kern w:val="2"/>
      <w:sz w:val="21"/>
      <w:szCs w:val="24"/>
    </w:rPr>
  </w:style>
  <w:style w:type="paragraph" w:customStyle="1" w:styleId="63">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4">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5">
    <w:name w:val="页脚 字符"/>
    <w:basedOn w:val="23"/>
    <w:link w:val="15"/>
    <w:qFormat/>
    <w:uiPriority w:val="0"/>
    <w:rPr>
      <w:rFonts w:ascii="Calibri" w:hAnsi="Calibri"/>
      <w:kern w:val="2"/>
      <w:sz w:val="18"/>
      <w:szCs w:val="18"/>
    </w:rPr>
  </w:style>
  <w:style w:type="character" w:customStyle="1" w:styleId="66">
    <w:name w:val="批注框文本 字符"/>
    <w:basedOn w:val="23"/>
    <w:link w:val="14"/>
    <w:qFormat/>
    <w:uiPriority w:val="0"/>
    <w:rPr>
      <w:rFonts w:ascii="Calibri" w:hAnsi="Calibri"/>
      <w:kern w:val="2"/>
      <w:sz w:val="18"/>
      <w:szCs w:val="18"/>
    </w:rPr>
  </w:style>
  <w:style w:type="character" w:customStyle="1" w:styleId="67">
    <w:name w:val="纯文本 字符"/>
    <w:basedOn w:val="23"/>
    <w:link w:val="11"/>
    <w:qFormat/>
    <w:uiPriority w:val="0"/>
    <w:rPr>
      <w:rFonts w:ascii="宋体" w:hAnsi="Courier New" w:cs="Courier New"/>
      <w:kern w:val="2"/>
      <w:sz w:val="21"/>
      <w:szCs w:val="21"/>
    </w:rPr>
  </w:style>
  <w:style w:type="paragraph" w:customStyle="1" w:styleId="68">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9">
    <w:name w:val="页眉 字符"/>
    <w:basedOn w:val="23"/>
    <w:link w:val="16"/>
    <w:qFormat/>
    <w:uiPriority w:val="0"/>
    <w:rPr>
      <w:rFonts w:ascii="Calibri" w:hAnsi="Calibri"/>
      <w:kern w:val="2"/>
      <w:sz w:val="18"/>
      <w:szCs w:val="18"/>
    </w:rPr>
  </w:style>
  <w:style w:type="paragraph" w:customStyle="1" w:styleId="70">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1">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2">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E6DDDA7F-0647-4543-B92C-DE0A19B5D4F3}">
  <ds:schemaRefs/>
</ds:datastoreItem>
</file>

<file path=customXml/itemProps2.xml><?xml version="1.0" encoding="utf-8"?>
<ds:datastoreItem xmlns:ds="http://schemas.openxmlformats.org/officeDocument/2006/customXml" ds:itemID="{E531EB37-0565-4CF3-9D3C-47B6C5901D1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23</Pages>
  <Words>9257</Words>
  <Characters>9485</Characters>
  <Lines>83</Lines>
  <Paragraphs>23</Paragraphs>
  <TotalTime>8</TotalTime>
  <ScaleCrop>false</ScaleCrop>
  <LinksUpToDate>false</LinksUpToDate>
  <CharactersWithSpaces>11039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TF</cp:lastModifiedBy>
  <dcterms:modified xsi:type="dcterms:W3CDTF">2022-09-09T01:53:19Z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BD4D87F3D29F4F2EA6B20F283D178D2E</vt:lpwstr>
  </property>
</Properties>
</file>