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Times New Roman" w:hAnsi="Times New Roman"/>
          <w:b/>
          <w:bCs/>
          <w:color w:val="auto"/>
          <w:sz w:val="32"/>
          <w:szCs w:val="32"/>
        </w:rPr>
      </w:pPr>
      <w:bookmarkStart w:id="0" w:name="_Toc52036320"/>
      <w:r>
        <w:rPr>
          <w:rFonts w:hint="eastAsia" w:ascii="Times New Roman" w:hAnsi="Times New Roman"/>
          <w:b/>
          <w:bCs/>
          <w:color w:val="auto"/>
          <w:sz w:val="32"/>
          <w:szCs w:val="32"/>
        </w:rPr>
        <w:t>三台县人民医院</w:t>
      </w:r>
    </w:p>
    <w:p>
      <w:pPr>
        <w:spacing w:line="440" w:lineRule="exact"/>
        <w:jc w:val="center"/>
        <w:rPr>
          <w:rFonts w:hint="eastAsia" w:ascii="Times New Roman" w:hAnsi="Times New Roman"/>
          <w:b/>
          <w:bCs/>
          <w:color w:val="auto"/>
          <w:sz w:val="32"/>
          <w:szCs w:val="32"/>
        </w:rPr>
      </w:pPr>
      <w:r>
        <w:rPr>
          <w:rFonts w:hint="eastAsia" w:ascii="Times New Roman" w:hAnsi="Times New Roman"/>
          <w:b/>
          <w:bCs/>
          <w:color w:val="auto"/>
          <w:sz w:val="32"/>
          <w:szCs w:val="32"/>
        </w:rPr>
        <w:t>关于</w:t>
      </w:r>
      <w:r>
        <w:rPr>
          <w:rFonts w:hint="eastAsia" w:ascii="Times New Roman" w:hAnsi="Times New Roman"/>
          <w:b/>
          <w:bCs/>
          <w:color w:val="auto"/>
          <w:sz w:val="32"/>
          <w:szCs w:val="32"/>
          <w:lang w:eastAsia="zh-CN"/>
        </w:rPr>
        <w:t>第二批</w:t>
      </w:r>
      <w:r>
        <w:rPr>
          <w:rFonts w:hint="eastAsia" w:ascii="Times New Roman" w:hAnsi="Times New Roman"/>
          <w:b/>
          <w:bCs/>
          <w:color w:val="auto"/>
          <w:sz w:val="32"/>
          <w:szCs w:val="32"/>
        </w:rPr>
        <w:t>新冠疫情危急重症救治医疗设备紧急采购的公告</w:t>
      </w:r>
    </w:p>
    <w:p>
      <w:pPr>
        <w:pStyle w:val="2"/>
      </w:pPr>
    </w:p>
    <w:p>
      <w:pPr>
        <w:spacing w:line="440" w:lineRule="exact"/>
        <w:rPr>
          <w:rFonts w:ascii="Times New Roman" w:hAnsi="Times New Roman"/>
          <w:b/>
          <w:bCs/>
          <w:color w:val="auto"/>
          <w:sz w:val="24"/>
          <w:szCs w:val="24"/>
        </w:rPr>
      </w:pPr>
      <w:r>
        <w:rPr>
          <w:rFonts w:ascii="Times New Roman" w:hAnsi="Times New Roman"/>
          <w:b/>
          <w:bCs/>
          <w:color w:val="auto"/>
          <w:sz w:val="24"/>
          <w:szCs w:val="24"/>
        </w:rPr>
        <w:t>各潜在比选申请人：</w:t>
      </w:r>
    </w:p>
    <w:p>
      <w:pPr>
        <w:spacing w:line="440" w:lineRule="exact"/>
        <w:ind w:firstLine="480" w:firstLineChars="200"/>
        <w:rPr>
          <w:rFonts w:ascii="Times New Roman" w:hAnsi="Times New Roman"/>
          <w:bCs/>
          <w:color w:val="auto"/>
          <w:sz w:val="24"/>
          <w:szCs w:val="24"/>
        </w:rPr>
      </w:pPr>
      <w:r>
        <w:rPr>
          <w:rFonts w:hint="eastAsia" w:ascii="Times New Roman" w:hAnsi="Times New Roman"/>
          <w:color w:val="auto"/>
          <w:sz w:val="24"/>
          <w:szCs w:val="24"/>
        </w:rPr>
        <w:t>我院根据国务院联防联控机制综合组《关于印发做好医疗资源准备工作方案的通知》联防联控机制综发</w:t>
      </w:r>
      <w:r>
        <w:rPr>
          <w:rFonts w:hint="eastAsia" w:ascii="Times New Roman" w:hAnsi="Times New Roman"/>
          <w:color w:val="auto"/>
          <w:sz w:val="24"/>
          <w:szCs w:val="24"/>
          <w:lang w:eastAsia="zh-CN"/>
        </w:rPr>
        <w:t>（〔</w:t>
      </w:r>
      <w:r>
        <w:rPr>
          <w:rFonts w:hint="eastAsia" w:ascii="Times New Roman" w:hAnsi="Times New Roman"/>
          <w:color w:val="auto"/>
          <w:sz w:val="24"/>
          <w:szCs w:val="24"/>
        </w:rPr>
        <w:t>2022〕112号</w:t>
      </w:r>
      <w:r>
        <w:rPr>
          <w:rFonts w:hint="eastAsia" w:ascii="Times New Roman" w:hAnsi="Times New Roman"/>
          <w:color w:val="auto"/>
          <w:sz w:val="24"/>
          <w:szCs w:val="24"/>
          <w:lang w:eastAsia="zh-CN"/>
        </w:rPr>
        <w:t>）</w:t>
      </w:r>
      <w:r>
        <w:rPr>
          <w:rFonts w:hint="eastAsia" w:ascii="Times New Roman" w:hAnsi="Times New Roman"/>
          <w:color w:val="auto"/>
          <w:sz w:val="24"/>
          <w:szCs w:val="24"/>
        </w:rPr>
        <w:t>及四川省应对新型冠状病毒肺炎疫情应急指挥部医疗救治组关于印发《四川省医疗资源准备工作方案》的通知</w:t>
      </w:r>
      <w:r>
        <w:rPr>
          <w:rFonts w:hint="eastAsia" w:ascii="Times New Roman" w:hAnsi="Times New Roman"/>
          <w:color w:val="auto"/>
          <w:sz w:val="24"/>
          <w:szCs w:val="24"/>
          <w:lang w:eastAsia="zh-CN"/>
        </w:rPr>
        <w:t>（</w:t>
      </w:r>
      <w:r>
        <w:rPr>
          <w:rFonts w:hint="eastAsia" w:ascii="Times New Roman" w:hAnsi="Times New Roman"/>
          <w:color w:val="auto"/>
          <w:sz w:val="24"/>
          <w:szCs w:val="24"/>
        </w:rPr>
        <w:t>川疫指医疗组函〔2022〕367号</w:t>
      </w:r>
      <w:r>
        <w:rPr>
          <w:rFonts w:hint="eastAsia" w:ascii="Times New Roman" w:hAnsi="Times New Roman"/>
          <w:color w:val="auto"/>
          <w:sz w:val="24"/>
          <w:szCs w:val="24"/>
          <w:lang w:eastAsia="zh-CN"/>
        </w:rPr>
        <w:t>）</w:t>
      </w:r>
      <w:r>
        <w:rPr>
          <w:rFonts w:hint="eastAsia" w:ascii="Times New Roman" w:hAnsi="Times New Roman"/>
          <w:color w:val="auto"/>
          <w:sz w:val="24"/>
          <w:szCs w:val="24"/>
        </w:rPr>
        <w:t>文件要求；绵阳市应对新型冠状病毒肺炎疫情应急指挥部医疗救治组《迎接国务院联防联控机制督查的要求清单在</w:t>
      </w:r>
      <w:r>
        <w:rPr>
          <w:rFonts w:hint="eastAsia" w:ascii="Times New Roman" w:hAnsi="Times New Roman"/>
          <w:color w:val="auto"/>
          <w:sz w:val="24"/>
          <w:szCs w:val="24"/>
          <w:lang w:eastAsia="zh-CN"/>
        </w:rPr>
        <w:t>（</w:t>
      </w:r>
      <w:r>
        <w:rPr>
          <w:rFonts w:hint="eastAsia" w:ascii="Times New Roman" w:hAnsi="Times New Roman"/>
          <w:color w:val="auto"/>
          <w:sz w:val="24"/>
          <w:szCs w:val="24"/>
        </w:rPr>
        <w:t>简要版</w:t>
      </w:r>
      <w:r>
        <w:rPr>
          <w:rFonts w:hint="eastAsia" w:ascii="Times New Roman" w:hAnsi="Times New Roman"/>
          <w:color w:val="auto"/>
          <w:sz w:val="24"/>
          <w:szCs w:val="24"/>
          <w:lang w:eastAsia="zh-CN"/>
        </w:rPr>
        <w:t>）</w:t>
      </w:r>
      <w:r>
        <w:rPr>
          <w:rFonts w:hint="eastAsia" w:ascii="Times New Roman" w:hAnsi="Times New Roman"/>
          <w:color w:val="auto"/>
          <w:sz w:val="24"/>
          <w:szCs w:val="24"/>
        </w:rPr>
        <w:t>》明确要求强化三级医院重症医疗资源准备，经医院研究</w:t>
      </w:r>
      <w:r>
        <w:rPr>
          <w:rFonts w:hint="eastAsia" w:ascii="Times New Roman" w:hAnsi="Times New Roman"/>
          <w:color w:val="auto"/>
          <w:sz w:val="24"/>
          <w:szCs w:val="24"/>
          <w:lang w:eastAsia="zh-CN"/>
        </w:rPr>
        <w:t>，决定</w:t>
      </w:r>
      <w:r>
        <w:rPr>
          <w:rFonts w:hint="eastAsia" w:ascii="Times New Roman" w:hAnsi="Times New Roman"/>
          <w:color w:val="auto"/>
          <w:sz w:val="24"/>
          <w:szCs w:val="24"/>
        </w:rPr>
        <w:t>紧急采购</w:t>
      </w:r>
      <w:r>
        <w:rPr>
          <w:rFonts w:hint="eastAsia" w:ascii="Times New Roman" w:hAnsi="Times New Roman"/>
          <w:color w:val="auto"/>
          <w:sz w:val="24"/>
          <w:szCs w:val="24"/>
          <w:lang w:eastAsia="zh-CN"/>
        </w:rPr>
        <w:t>一批</w:t>
      </w:r>
      <w:r>
        <w:rPr>
          <w:rFonts w:hint="eastAsia" w:ascii="Times New Roman" w:hAnsi="Times New Roman"/>
          <w:color w:val="auto"/>
          <w:sz w:val="24"/>
          <w:szCs w:val="24"/>
        </w:rPr>
        <w:t>新冠疫情危急重症救治</w:t>
      </w:r>
      <w:r>
        <w:rPr>
          <w:rFonts w:hint="eastAsia" w:ascii="Times New Roman" w:hAnsi="Times New Roman"/>
          <w:color w:val="auto"/>
          <w:sz w:val="24"/>
          <w:szCs w:val="24"/>
          <w:lang w:eastAsia="zh-CN"/>
        </w:rPr>
        <w:t>的</w:t>
      </w:r>
      <w:r>
        <w:rPr>
          <w:rFonts w:hint="eastAsia" w:ascii="Times New Roman" w:hAnsi="Times New Roman"/>
          <w:color w:val="auto"/>
          <w:sz w:val="24"/>
          <w:szCs w:val="24"/>
        </w:rPr>
        <w:t>医疗设备</w:t>
      </w:r>
      <w:r>
        <w:rPr>
          <w:rFonts w:hint="eastAsia" w:ascii="Times New Roman" w:hAnsi="Times New Roman"/>
          <w:color w:val="auto"/>
          <w:sz w:val="24"/>
          <w:szCs w:val="24"/>
          <w:lang w:eastAsia="zh-CN"/>
        </w:rPr>
        <w:t>，</w:t>
      </w:r>
      <w:r>
        <w:rPr>
          <w:rFonts w:hint="eastAsia" w:ascii="Times New Roman" w:hAnsi="Times New Roman"/>
          <w:color w:val="auto"/>
          <w:sz w:val="24"/>
          <w:szCs w:val="24"/>
        </w:rPr>
        <w:t>兹以公告方式邀请符合要求的供应商参加比选。</w:t>
      </w:r>
    </w:p>
    <w:p>
      <w:pPr>
        <w:numPr>
          <w:ilvl w:val="0"/>
          <w:numId w:val="0"/>
        </w:numPr>
        <w:spacing w:line="440" w:lineRule="exact"/>
        <w:ind w:leftChars="0"/>
        <w:rPr>
          <w:rFonts w:hint="eastAsia" w:ascii="Times New Roman" w:hAnsi="Times New Roman"/>
          <w:color w:val="auto"/>
          <w:sz w:val="24"/>
          <w:szCs w:val="24"/>
          <w:lang w:eastAsia="zh-CN"/>
        </w:rPr>
      </w:pPr>
      <w:r>
        <w:rPr>
          <w:rFonts w:hint="eastAsia" w:ascii="Times New Roman" w:hAnsi="Times New Roman"/>
          <w:b/>
          <w:bCs/>
          <w:color w:val="auto"/>
          <w:sz w:val="24"/>
          <w:szCs w:val="24"/>
          <w:lang w:eastAsia="zh-CN"/>
        </w:rPr>
        <w:t>一、</w:t>
      </w:r>
      <w:r>
        <w:rPr>
          <w:rFonts w:ascii="Times New Roman" w:hAnsi="Times New Roman"/>
          <w:b/>
          <w:bCs/>
          <w:color w:val="auto"/>
          <w:sz w:val="24"/>
          <w:szCs w:val="24"/>
        </w:rPr>
        <w:t>项目名称：</w:t>
      </w:r>
      <w:r>
        <w:rPr>
          <w:rFonts w:hint="eastAsia" w:ascii="Times New Roman" w:hAnsi="Times New Roman"/>
          <w:b w:val="0"/>
          <w:bCs w:val="0"/>
          <w:color w:val="auto"/>
          <w:sz w:val="24"/>
          <w:szCs w:val="24"/>
          <w:lang w:eastAsia="zh-CN"/>
        </w:rPr>
        <w:t>第二批</w:t>
      </w:r>
      <w:r>
        <w:rPr>
          <w:rFonts w:hint="eastAsia" w:ascii="Times New Roman" w:hAnsi="Times New Roman"/>
          <w:color w:val="auto"/>
          <w:sz w:val="24"/>
          <w:szCs w:val="24"/>
        </w:rPr>
        <w:t>新冠疫情危急重症救治医疗设备紧急</w:t>
      </w:r>
      <w:r>
        <w:rPr>
          <w:rFonts w:hint="eastAsia" w:ascii="Times New Roman" w:hAnsi="Times New Roman"/>
          <w:color w:val="auto"/>
          <w:sz w:val="24"/>
          <w:szCs w:val="24"/>
          <w:lang w:eastAsia="zh-CN"/>
        </w:rPr>
        <w:t>采购项目</w:t>
      </w:r>
      <w:bookmarkStart w:id="52" w:name="_GoBack"/>
      <w:bookmarkEnd w:id="52"/>
    </w:p>
    <w:p>
      <w:pPr>
        <w:numPr>
          <w:ilvl w:val="0"/>
          <w:numId w:val="0"/>
        </w:numPr>
        <w:spacing w:line="440" w:lineRule="exact"/>
        <w:ind w:leftChars="0"/>
        <w:rPr>
          <w:rFonts w:ascii="Times New Roman" w:hAnsi="Times New Roman"/>
          <w:color w:val="auto"/>
          <w:sz w:val="24"/>
          <w:szCs w:val="24"/>
        </w:rPr>
      </w:pPr>
      <w:r>
        <w:rPr>
          <w:rFonts w:hint="eastAsia" w:ascii="Times New Roman" w:hAnsi="Times New Roman"/>
          <w:b/>
          <w:bCs/>
          <w:color w:val="auto"/>
          <w:sz w:val="24"/>
          <w:szCs w:val="24"/>
          <w:lang w:eastAsia="zh-CN"/>
        </w:rPr>
        <w:t>二、</w:t>
      </w:r>
      <w:r>
        <w:rPr>
          <w:rFonts w:ascii="Times New Roman" w:hAnsi="Times New Roman"/>
          <w:b/>
          <w:bCs/>
          <w:color w:val="auto"/>
          <w:sz w:val="24"/>
          <w:szCs w:val="24"/>
        </w:rPr>
        <w:t>比选内容</w:t>
      </w:r>
    </w:p>
    <w:tbl>
      <w:tblPr>
        <w:tblStyle w:val="21"/>
        <w:tblW w:w="500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987"/>
        <w:gridCol w:w="885"/>
        <w:gridCol w:w="1457"/>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43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277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4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分子筛制氧机</w:t>
            </w:r>
          </w:p>
        </w:tc>
        <w:tc>
          <w:tcPr>
            <w:tcW w:w="98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45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150</w:t>
            </w:r>
          </w:p>
        </w:tc>
        <w:tc>
          <w:tcPr>
            <w:tcW w:w="2773" w:type="dxa"/>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5</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30</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rPr>
        <w:t>关于</w:t>
      </w:r>
      <w:r>
        <w:rPr>
          <w:rFonts w:hint="eastAsia" w:ascii="Times New Roman" w:hAnsi="Times New Roman"/>
          <w:color w:val="auto"/>
          <w:sz w:val="32"/>
          <w:szCs w:val="32"/>
          <w:lang w:eastAsia="zh-CN"/>
        </w:rPr>
        <w:t>第二批</w:t>
      </w:r>
      <w:r>
        <w:rPr>
          <w:rFonts w:hint="eastAsia" w:ascii="Times New Roman" w:hAnsi="Times New Roman"/>
          <w:color w:val="auto"/>
          <w:sz w:val="32"/>
          <w:szCs w:val="32"/>
        </w:rPr>
        <w:t>新冠疫情危急重症救治医疗设备紧急采购</w:t>
      </w:r>
      <w:r>
        <w:rPr>
          <w:rFonts w:hint="eastAsia" w:ascii="Times New Roman" w:hAnsi="Times New Roman"/>
          <w:color w:val="auto"/>
          <w:sz w:val="32"/>
          <w:szCs w:val="32"/>
          <w:lang w:eastAsia="zh-CN"/>
        </w:rPr>
        <w:t>的比选文件</w:t>
      </w:r>
    </w:p>
    <w:p>
      <w:pPr>
        <w:pStyle w:val="3"/>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szCs w:val="24"/>
        </w:rPr>
      </w:pPr>
      <w:r>
        <w:rPr>
          <w:rFonts w:ascii="Times New Roman" w:hAnsi="Times New Roman"/>
          <w:b/>
          <w:bCs/>
          <w:color w:val="auto"/>
          <w:sz w:val="24"/>
          <w:szCs w:val="24"/>
        </w:rPr>
        <w:t>各潜在比选申请人：</w:t>
      </w:r>
    </w:p>
    <w:p>
      <w:pPr>
        <w:spacing w:line="440" w:lineRule="exact"/>
        <w:ind w:firstLine="480" w:firstLineChars="200"/>
        <w:rPr>
          <w:rFonts w:ascii="Times New Roman" w:hAnsi="Times New Roman"/>
          <w:bCs/>
          <w:color w:val="auto"/>
          <w:sz w:val="24"/>
          <w:szCs w:val="24"/>
        </w:rPr>
      </w:pPr>
      <w:r>
        <w:rPr>
          <w:rFonts w:hint="eastAsia" w:ascii="Times New Roman" w:hAnsi="Times New Roman"/>
          <w:color w:val="auto"/>
          <w:sz w:val="24"/>
          <w:szCs w:val="24"/>
        </w:rPr>
        <w:t>我院根据国务院联防联控机制综合组《关于印发做好医疗资源准备工作方案的通知》联防联控机制综发</w:t>
      </w:r>
      <w:r>
        <w:rPr>
          <w:rFonts w:hint="eastAsia" w:ascii="Times New Roman" w:hAnsi="Times New Roman"/>
          <w:color w:val="auto"/>
          <w:sz w:val="24"/>
          <w:szCs w:val="24"/>
          <w:lang w:eastAsia="zh-CN"/>
        </w:rPr>
        <w:t>（〔</w:t>
      </w:r>
      <w:r>
        <w:rPr>
          <w:rFonts w:hint="eastAsia" w:ascii="Times New Roman" w:hAnsi="Times New Roman"/>
          <w:color w:val="auto"/>
          <w:sz w:val="24"/>
          <w:szCs w:val="24"/>
        </w:rPr>
        <w:t>2022〕112号</w:t>
      </w:r>
      <w:r>
        <w:rPr>
          <w:rFonts w:hint="eastAsia" w:ascii="Times New Roman" w:hAnsi="Times New Roman"/>
          <w:color w:val="auto"/>
          <w:sz w:val="24"/>
          <w:szCs w:val="24"/>
          <w:lang w:eastAsia="zh-CN"/>
        </w:rPr>
        <w:t>）</w:t>
      </w:r>
      <w:r>
        <w:rPr>
          <w:rFonts w:hint="eastAsia" w:ascii="Times New Roman" w:hAnsi="Times New Roman"/>
          <w:color w:val="auto"/>
          <w:sz w:val="24"/>
          <w:szCs w:val="24"/>
        </w:rPr>
        <w:t>及四川省应对新型冠状病毒肺炎疫情应急指挥部医疗救治组关于印发《四川省医疗资源准备工作方案》的通知</w:t>
      </w:r>
      <w:r>
        <w:rPr>
          <w:rFonts w:hint="eastAsia" w:ascii="Times New Roman" w:hAnsi="Times New Roman"/>
          <w:color w:val="auto"/>
          <w:sz w:val="24"/>
          <w:szCs w:val="24"/>
          <w:lang w:eastAsia="zh-CN"/>
        </w:rPr>
        <w:t>（</w:t>
      </w:r>
      <w:r>
        <w:rPr>
          <w:rFonts w:hint="eastAsia" w:ascii="Times New Roman" w:hAnsi="Times New Roman"/>
          <w:color w:val="auto"/>
          <w:sz w:val="24"/>
          <w:szCs w:val="24"/>
        </w:rPr>
        <w:t>川疫指医疗组函〔2022〕367号</w:t>
      </w:r>
      <w:r>
        <w:rPr>
          <w:rFonts w:hint="eastAsia" w:ascii="Times New Roman" w:hAnsi="Times New Roman"/>
          <w:color w:val="auto"/>
          <w:sz w:val="24"/>
          <w:szCs w:val="24"/>
          <w:lang w:eastAsia="zh-CN"/>
        </w:rPr>
        <w:t>）</w:t>
      </w:r>
      <w:r>
        <w:rPr>
          <w:rFonts w:hint="eastAsia" w:ascii="Times New Roman" w:hAnsi="Times New Roman"/>
          <w:color w:val="auto"/>
          <w:sz w:val="24"/>
          <w:szCs w:val="24"/>
        </w:rPr>
        <w:t>文件要求；绵阳市应对新型冠状病毒肺炎疫情应急指挥部医疗救治组《迎接国务院联防联控机制督查的要求清单在</w:t>
      </w:r>
      <w:r>
        <w:rPr>
          <w:rFonts w:hint="eastAsia" w:ascii="Times New Roman" w:hAnsi="Times New Roman"/>
          <w:color w:val="auto"/>
          <w:sz w:val="24"/>
          <w:szCs w:val="24"/>
          <w:lang w:eastAsia="zh-CN"/>
        </w:rPr>
        <w:t>（</w:t>
      </w:r>
      <w:r>
        <w:rPr>
          <w:rFonts w:hint="eastAsia" w:ascii="Times New Roman" w:hAnsi="Times New Roman"/>
          <w:color w:val="auto"/>
          <w:sz w:val="24"/>
          <w:szCs w:val="24"/>
        </w:rPr>
        <w:t>简要版</w:t>
      </w:r>
      <w:r>
        <w:rPr>
          <w:rFonts w:hint="eastAsia" w:ascii="Times New Roman" w:hAnsi="Times New Roman"/>
          <w:color w:val="auto"/>
          <w:sz w:val="24"/>
          <w:szCs w:val="24"/>
          <w:lang w:eastAsia="zh-CN"/>
        </w:rPr>
        <w:t>）</w:t>
      </w:r>
      <w:r>
        <w:rPr>
          <w:rFonts w:hint="eastAsia" w:ascii="Times New Roman" w:hAnsi="Times New Roman"/>
          <w:color w:val="auto"/>
          <w:sz w:val="24"/>
          <w:szCs w:val="24"/>
        </w:rPr>
        <w:t>》明确要求强化三级医院重症医疗资源准备，经医院研究</w:t>
      </w:r>
      <w:r>
        <w:rPr>
          <w:rFonts w:hint="eastAsia" w:ascii="Times New Roman" w:hAnsi="Times New Roman"/>
          <w:color w:val="auto"/>
          <w:sz w:val="24"/>
          <w:szCs w:val="24"/>
          <w:lang w:eastAsia="zh-CN"/>
        </w:rPr>
        <w:t>，决定</w:t>
      </w:r>
      <w:r>
        <w:rPr>
          <w:rFonts w:hint="eastAsia" w:ascii="Times New Roman" w:hAnsi="Times New Roman"/>
          <w:color w:val="auto"/>
          <w:sz w:val="24"/>
          <w:szCs w:val="24"/>
        </w:rPr>
        <w:t>紧急采购</w:t>
      </w:r>
      <w:r>
        <w:rPr>
          <w:rFonts w:hint="eastAsia" w:ascii="Times New Roman" w:hAnsi="Times New Roman"/>
          <w:color w:val="auto"/>
          <w:sz w:val="24"/>
          <w:szCs w:val="24"/>
          <w:lang w:eastAsia="zh-CN"/>
        </w:rPr>
        <w:t>一批</w:t>
      </w:r>
      <w:r>
        <w:rPr>
          <w:rFonts w:hint="eastAsia" w:ascii="Times New Roman" w:hAnsi="Times New Roman"/>
          <w:color w:val="auto"/>
          <w:sz w:val="24"/>
          <w:szCs w:val="24"/>
        </w:rPr>
        <w:t>新冠疫情危急重症救治</w:t>
      </w:r>
      <w:r>
        <w:rPr>
          <w:rFonts w:hint="eastAsia" w:ascii="Times New Roman" w:hAnsi="Times New Roman"/>
          <w:color w:val="auto"/>
          <w:sz w:val="24"/>
          <w:szCs w:val="24"/>
          <w:lang w:eastAsia="zh-CN"/>
        </w:rPr>
        <w:t>的</w:t>
      </w:r>
      <w:r>
        <w:rPr>
          <w:rFonts w:hint="eastAsia" w:ascii="Times New Roman" w:hAnsi="Times New Roman"/>
          <w:color w:val="auto"/>
          <w:sz w:val="24"/>
          <w:szCs w:val="24"/>
        </w:rPr>
        <w:t>医疗设备</w:t>
      </w:r>
      <w:r>
        <w:rPr>
          <w:rFonts w:hint="eastAsia" w:ascii="Times New Roman" w:hAnsi="Times New Roman"/>
          <w:color w:val="auto"/>
          <w:sz w:val="24"/>
          <w:szCs w:val="24"/>
          <w:lang w:eastAsia="zh-CN"/>
        </w:rPr>
        <w:t>，</w:t>
      </w:r>
      <w:r>
        <w:rPr>
          <w:rFonts w:hint="eastAsia" w:ascii="Times New Roman" w:hAnsi="Times New Roman"/>
          <w:color w:val="auto"/>
          <w:sz w:val="24"/>
          <w:szCs w:val="24"/>
        </w:rPr>
        <w:t>兹以公告方式邀请符合要求的供应商参加比选。</w:t>
      </w:r>
    </w:p>
    <w:p>
      <w:pPr>
        <w:numPr>
          <w:ilvl w:val="0"/>
          <w:numId w:val="0"/>
        </w:numPr>
        <w:spacing w:line="440" w:lineRule="exact"/>
        <w:ind w:leftChars="0"/>
        <w:rPr>
          <w:rFonts w:hint="eastAsia" w:ascii="Times New Roman" w:hAnsi="Times New Roman"/>
          <w:color w:val="auto"/>
          <w:sz w:val="24"/>
          <w:szCs w:val="24"/>
          <w:lang w:eastAsia="zh-CN"/>
        </w:rPr>
      </w:pPr>
      <w:r>
        <w:rPr>
          <w:rFonts w:hint="eastAsia" w:ascii="Times New Roman" w:hAnsi="Times New Roman"/>
          <w:b/>
          <w:bCs/>
          <w:color w:val="auto"/>
          <w:sz w:val="24"/>
          <w:szCs w:val="24"/>
          <w:lang w:eastAsia="zh-CN"/>
        </w:rPr>
        <w:t>一、</w:t>
      </w:r>
      <w:r>
        <w:rPr>
          <w:rFonts w:ascii="Times New Roman" w:hAnsi="Times New Roman"/>
          <w:b/>
          <w:bCs/>
          <w:color w:val="auto"/>
          <w:sz w:val="24"/>
          <w:szCs w:val="24"/>
        </w:rPr>
        <w:t>项目名称：</w:t>
      </w:r>
      <w:r>
        <w:rPr>
          <w:rFonts w:hint="eastAsia" w:ascii="Times New Roman" w:hAnsi="Times New Roman"/>
          <w:b w:val="0"/>
          <w:bCs w:val="0"/>
          <w:color w:val="auto"/>
          <w:sz w:val="24"/>
          <w:szCs w:val="24"/>
          <w:lang w:eastAsia="zh-CN"/>
        </w:rPr>
        <w:t>第二批</w:t>
      </w:r>
      <w:r>
        <w:rPr>
          <w:rFonts w:hint="eastAsia" w:ascii="Times New Roman" w:hAnsi="Times New Roman"/>
          <w:color w:val="auto"/>
          <w:sz w:val="24"/>
          <w:szCs w:val="24"/>
        </w:rPr>
        <w:t>新冠疫情危急重症救治医疗设备紧急采购</w:t>
      </w:r>
      <w:r>
        <w:rPr>
          <w:rFonts w:hint="eastAsia" w:ascii="Times New Roman" w:hAnsi="Times New Roman"/>
          <w:color w:val="auto"/>
          <w:sz w:val="24"/>
          <w:szCs w:val="24"/>
          <w:lang w:eastAsia="zh-CN"/>
        </w:rPr>
        <w:t>项目</w:t>
      </w:r>
    </w:p>
    <w:p>
      <w:pPr>
        <w:numPr>
          <w:ilvl w:val="0"/>
          <w:numId w:val="0"/>
        </w:numPr>
        <w:spacing w:line="440" w:lineRule="exact"/>
        <w:ind w:leftChars="0"/>
        <w:rPr>
          <w:rFonts w:ascii="Times New Roman" w:hAnsi="Times New Roman"/>
          <w:color w:val="auto"/>
          <w:sz w:val="24"/>
          <w:szCs w:val="24"/>
        </w:rPr>
      </w:pPr>
      <w:r>
        <w:rPr>
          <w:rFonts w:hint="eastAsia" w:ascii="Times New Roman" w:hAnsi="Times New Roman"/>
          <w:b/>
          <w:bCs/>
          <w:color w:val="auto"/>
          <w:sz w:val="24"/>
          <w:szCs w:val="24"/>
          <w:lang w:eastAsia="zh-CN"/>
        </w:rPr>
        <w:t>二、</w:t>
      </w:r>
      <w:r>
        <w:rPr>
          <w:rFonts w:ascii="Times New Roman" w:hAnsi="Times New Roman"/>
          <w:b/>
          <w:bCs/>
          <w:color w:val="auto"/>
          <w:sz w:val="24"/>
          <w:szCs w:val="24"/>
        </w:rPr>
        <w:t>比选内容</w:t>
      </w:r>
    </w:p>
    <w:tbl>
      <w:tblPr>
        <w:tblStyle w:val="21"/>
        <w:tblW w:w="5008"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987"/>
        <w:gridCol w:w="885"/>
        <w:gridCol w:w="1457"/>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4" w:hRule="atLeast"/>
        </w:trPr>
        <w:tc>
          <w:tcPr>
            <w:tcW w:w="142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57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5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6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2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分子筛制氧机</w:t>
            </w:r>
          </w:p>
        </w:tc>
        <w:tc>
          <w:tcPr>
            <w:tcW w:w="57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51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85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150</w:t>
            </w:r>
          </w:p>
        </w:tc>
        <w:tc>
          <w:tcPr>
            <w:tcW w:w="1624"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color w:val="auto"/>
          <w:sz w:val="24"/>
          <w:szCs w:val="24"/>
        </w:rPr>
      </w:pPr>
      <w:r>
        <w:rPr>
          <w:rFonts w:hint="eastAsia" w:ascii="Times New Roman" w:hAnsi="Times New Roman"/>
          <w:b/>
          <w:bCs/>
          <w:color w:val="auto"/>
          <w:sz w:val="24"/>
          <w:szCs w:val="24"/>
          <w:lang w:val="en-US" w:eastAsia="zh-CN"/>
        </w:rPr>
        <w:t>三、</w:t>
      </w:r>
      <w:r>
        <w:rPr>
          <w:rFonts w:ascii="Times New Roman" w:hAnsi="Times New Roman"/>
          <w:b/>
          <w:bCs/>
          <w:color w:val="auto"/>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2、具有良好的商业信誉和健全的财务会计制度</w:t>
      </w:r>
      <w:r>
        <w:rPr>
          <w:rFonts w:hint="eastAsia" w:ascii="Times New Roman" w:hAnsi="Times New Roman"/>
          <w:color w:val="auto"/>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7、具有医疗器械经营企业许可证或医疗器械经营备案凭证（设备为I类医疗器械、不属于医疗器械不提供）</w:t>
      </w:r>
      <w:r>
        <w:rPr>
          <w:rFonts w:hint="eastAsia" w:ascii="Times New Roman" w:hAnsi="Times New Roman"/>
          <w:color w:val="auto"/>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rPr>
      </w:pPr>
      <w:r>
        <w:rPr>
          <w:rFonts w:hint="eastAsia" w:ascii="Times New Roman" w:hAnsi="Times New Roman"/>
          <w:color w:val="auto"/>
          <w:kern w:val="0"/>
          <w:sz w:val="24"/>
          <w:szCs w:val="24"/>
          <w:lang w:val="zh-CN"/>
        </w:rPr>
        <w:t>9、</w:t>
      </w:r>
      <w:r>
        <w:rPr>
          <w:rFonts w:hint="eastAsia" w:ascii="Times New Roman" w:hAnsi="Times New Roman"/>
          <w:color w:val="auto"/>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auto"/>
          <w:kern w:val="0"/>
          <w:sz w:val="24"/>
          <w:szCs w:val="24"/>
          <w:lang w:val="zh-CN"/>
        </w:rPr>
      </w:pPr>
      <w:r>
        <w:rPr>
          <w:rFonts w:hint="eastAsia" w:ascii="Times New Roman" w:hAnsi="Times New Roman"/>
          <w:b/>
          <w:color w:val="auto"/>
          <w:kern w:val="0"/>
          <w:sz w:val="24"/>
          <w:szCs w:val="24"/>
          <w:lang w:val="zh-CN"/>
        </w:rPr>
        <w:t>四、</w:t>
      </w:r>
      <w:r>
        <w:rPr>
          <w:rFonts w:ascii="Times New Roman" w:hAnsi="Times New Roman"/>
          <w:b/>
          <w:color w:val="auto"/>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2、提供具有良好的商业信誉承诺书及20</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lang w:val="zh-CN"/>
        </w:rPr>
        <w:t>年度</w:t>
      </w:r>
      <w:r>
        <w:rPr>
          <w:rFonts w:hint="eastAsia" w:ascii="Times New Roman" w:hAnsi="Times New Roman"/>
          <w:color w:val="auto"/>
          <w:kern w:val="0"/>
          <w:sz w:val="24"/>
          <w:szCs w:val="24"/>
          <w:lang w:val="zh-CN"/>
        </w:rPr>
        <w:t>或202</w:t>
      </w:r>
      <w:r>
        <w:rPr>
          <w:rFonts w:hint="eastAsia" w:ascii="Times New Roman" w:hAnsi="Times New Roman"/>
          <w:color w:val="auto"/>
          <w:kern w:val="0"/>
          <w:sz w:val="24"/>
          <w:szCs w:val="24"/>
          <w:lang w:val="en-US" w:eastAsia="zh-CN"/>
        </w:rPr>
        <w:t>1</w:t>
      </w:r>
      <w:r>
        <w:rPr>
          <w:rFonts w:hint="eastAsia" w:ascii="Times New Roman" w:hAnsi="Times New Roman"/>
          <w:color w:val="auto"/>
          <w:kern w:val="0"/>
          <w:sz w:val="24"/>
          <w:szCs w:val="24"/>
          <w:lang w:val="zh-CN"/>
        </w:rPr>
        <w:t>年</w:t>
      </w:r>
      <w:r>
        <w:rPr>
          <w:rFonts w:ascii="Times New Roman" w:hAnsi="Times New Roman"/>
          <w:color w:val="auto"/>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4、提供开标日前任意一个月的缴纳税收和社保的银行缴款凭证或税务、社保部门出具的证明材料复印件</w:t>
      </w:r>
      <w:r>
        <w:rPr>
          <w:rFonts w:hint="eastAsia" w:ascii="Times New Roman" w:hAnsi="Times New Roman"/>
          <w:color w:val="auto"/>
          <w:kern w:val="0"/>
          <w:sz w:val="24"/>
          <w:szCs w:val="24"/>
          <w:lang w:val="zh-CN"/>
        </w:rPr>
        <w:t>（</w:t>
      </w:r>
      <w:r>
        <w:rPr>
          <w:rFonts w:ascii="Times New Roman" w:hAnsi="Times New Roman"/>
          <w:color w:val="auto"/>
          <w:kern w:val="0"/>
          <w:sz w:val="24"/>
          <w:szCs w:val="24"/>
          <w:lang w:val="zh-CN"/>
        </w:rPr>
        <w:t>注：可提供承诺函</w:t>
      </w:r>
      <w:r>
        <w:rPr>
          <w:rFonts w:hint="eastAsia" w:ascii="Times New Roman" w:hAnsi="Times New Roman"/>
          <w:color w:val="auto"/>
          <w:kern w:val="0"/>
          <w:sz w:val="24"/>
          <w:szCs w:val="24"/>
          <w:lang w:val="zh-CN"/>
        </w:rPr>
        <w:t>）</w:t>
      </w:r>
      <w:r>
        <w:rPr>
          <w:rFonts w:ascii="Times New Roman" w:hAnsi="Times New Roman"/>
          <w:color w:val="auto"/>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6、承诺与其他供应商之间，单位负责人不为同一人而且不存在直接控股、管理关系的承诺书</w:t>
      </w:r>
      <w:r>
        <w:rPr>
          <w:rFonts w:hint="eastAsia" w:ascii="Times New Roman" w:hAnsi="Times New Roman"/>
          <w:color w:val="auto"/>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7、提供医疗器械经营许可证或医疗器械经营备案凭证复印件（本条对I类医疗器械产品</w:t>
      </w:r>
      <w:r>
        <w:rPr>
          <w:rFonts w:hint="eastAsia" w:ascii="Times New Roman" w:hAnsi="Times New Roman"/>
          <w:color w:val="auto"/>
          <w:kern w:val="0"/>
          <w:sz w:val="24"/>
          <w:szCs w:val="24"/>
          <w:lang w:val="zh-CN"/>
        </w:rPr>
        <w:t>和非医疗器械</w:t>
      </w:r>
      <w:r>
        <w:rPr>
          <w:rFonts w:ascii="Times New Roman" w:hAnsi="Times New Roman"/>
          <w:color w:val="auto"/>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color w:val="auto"/>
          <w:kern w:val="0"/>
          <w:sz w:val="24"/>
          <w:szCs w:val="24"/>
          <w:lang w:val="en-US" w:eastAsia="zh-CN"/>
        </w:rPr>
      </w:pPr>
      <w:r>
        <w:rPr>
          <w:rFonts w:ascii="Times New Roman" w:hAnsi="Times New Roman"/>
          <w:color w:val="auto"/>
          <w:kern w:val="0"/>
          <w:sz w:val="24"/>
          <w:szCs w:val="24"/>
          <w:lang w:val="zh-CN"/>
        </w:rPr>
        <w:t>9、</w:t>
      </w:r>
      <w:r>
        <w:rPr>
          <w:rFonts w:hint="eastAsia" w:ascii="Times New Roman" w:hAnsi="Times New Roman"/>
          <w:color w:val="auto"/>
          <w:kern w:val="0"/>
          <w:sz w:val="24"/>
          <w:szCs w:val="24"/>
          <w:lang w:val="zh-CN"/>
        </w:rPr>
        <w:t>提供产品的医疗器械产品注册证或备案凭证复印件（非医疗器械产品除外）。</w:t>
      </w:r>
      <w:r>
        <w:rPr>
          <w:rFonts w:hint="eastAsia" w:ascii="Times New Roman" w:hAnsi="Times New Roman"/>
          <w:b/>
          <w:color w:val="auto"/>
          <w:kern w:val="0"/>
          <w:sz w:val="24"/>
          <w:szCs w:val="24"/>
          <w:lang w:val="zh-CN"/>
        </w:rPr>
        <w:t>五、</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rPr>
        <w:t>0</w:t>
      </w:r>
      <w:r>
        <w:rPr>
          <w:rFonts w:ascii="Times New Roman" w:hAnsi="Times New Roman"/>
          <w:color w:val="auto"/>
          <w:sz w:val="24"/>
          <w:szCs w:val="24"/>
        </w:rPr>
        <w:t>0～</w:t>
      </w:r>
      <w:r>
        <w:rPr>
          <w:rFonts w:hint="eastAsia" w:ascii="Times New Roman" w:hAnsi="Times New Roman"/>
          <w:color w:val="auto"/>
          <w:sz w:val="24"/>
          <w:szCs w:val="24"/>
          <w:lang w:val="en-US" w:eastAsia="zh-CN"/>
        </w:rPr>
        <w:t>18:0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color w:val="auto"/>
          <w:sz w:val="24"/>
          <w:szCs w:val="24"/>
        </w:rPr>
      </w:pPr>
      <w:r>
        <w:rPr>
          <w:rFonts w:hint="eastAsia" w:ascii="Times New Roman" w:hAnsi="Times New Roman"/>
          <w:b/>
          <w:bCs w:val="0"/>
          <w:color w:val="auto"/>
          <w:sz w:val="24"/>
          <w:szCs w:val="24"/>
        </w:rPr>
        <w:t>六、</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5</w:t>
      </w:r>
      <w:r>
        <w:rPr>
          <w:rFonts w:ascii="Times New Roman" w:hAnsi="Times New Roman"/>
          <w:color w:val="auto"/>
          <w:sz w:val="24"/>
          <w:szCs w:val="24"/>
        </w:rPr>
        <w:t>日</w:t>
      </w:r>
      <w:r>
        <w:rPr>
          <w:rFonts w:hint="eastAsia" w:ascii="Times New Roman" w:hAnsi="Times New Roman"/>
          <w:color w:val="auto"/>
          <w:kern w:val="0"/>
          <w:sz w:val="24"/>
          <w:szCs w:val="24"/>
          <w:lang w:val="en-US" w:eastAsia="zh-CN"/>
        </w:rPr>
        <w:t>12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pageBreakBefore w:val="0"/>
        <w:kinsoku/>
        <w:wordWrap/>
        <w:overflowPunct/>
        <w:topLinePunct w:val="0"/>
        <w:bidi w:val="0"/>
        <w:snapToGrid/>
        <w:spacing w:line="400" w:lineRule="exact"/>
        <w:textAlignment w:val="auto"/>
        <w:rPr>
          <w:rFonts w:ascii="Times New Roman" w:hAnsi="Times New Roman"/>
          <w:b/>
          <w:color w:val="auto"/>
          <w:sz w:val="24"/>
          <w:szCs w:val="24"/>
        </w:rPr>
      </w:pPr>
      <w:r>
        <w:rPr>
          <w:rFonts w:hint="eastAsia" w:ascii="Times New Roman" w:hAnsi="Times New Roman"/>
          <w:b/>
          <w:bCs/>
          <w:color w:val="auto"/>
          <w:sz w:val="24"/>
          <w:szCs w:val="24"/>
        </w:rPr>
        <w:t>七、</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color w:val="auto"/>
          <w:kern w:val="0"/>
          <w:sz w:val="24"/>
          <w:szCs w:val="24"/>
        </w:rPr>
      </w:pPr>
      <w:r>
        <w:rPr>
          <w:rFonts w:hint="eastAsia" w:ascii="Times New Roman" w:hAnsi="Times New Roman"/>
          <w:b w:val="0"/>
          <w:bCs/>
          <w:color w:val="auto"/>
          <w:sz w:val="24"/>
          <w:szCs w:val="24"/>
          <w:lang w:val="en-US" w:eastAsia="zh-CN"/>
        </w:rPr>
        <w:t>1、</w:t>
      </w:r>
      <w:r>
        <w:rPr>
          <w:rFonts w:ascii="Times New Roman" w:hAnsi="Times New Roman"/>
          <w:color w:val="auto"/>
          <w:kern w:val="0"/>
          <w:sz w:val="24"/>
          <w:szCs w:val="24"/>
        </w:rPr>
        <w:t>响应文件</w:t>
      </w:r>
      <w:r>
        <w:rPr>
          <w:rFonts w:hint="eastAsia" w:ascii="Times New Roman" w:hAnsi="Times New Roman"/>
          <w:color w:val="auto"/>
          <w:kern w:val="0"/>
          <w:sz w:val="24"/>
          <w:szCs w:val="24"/>
          <w:lang w:eastAsia="zh-CN"/>
        </w:rPr>
        <w:t>一式两份（</w:t>
      </w:r>
      <w:r>
        <w:rPr>
          <w:rFonts w:hint="eastAsia" w:ascii="Times New Roman" w:hAnsi="Times New Roman"/>
          <w:b/>
          <w:bCs/>
          <w:color w:val="auto"/>
          <w:kern w:val="0"/>
          <w:sz w:val="24"/>
          <w:szCs w:val="24"/>
          <w:lang w:eastAsia="zh-CN"/>
        </w:rPr>
        <w:t>一正一副，密封</w:t>
      </w:r>
      <w:r>
        <w:rPr>
          <w:rFonts w:hint="eastAsia" w:ascii="Times New Roman" w:hAnsi="Times New Roman"/>
          <w:color w:val="auto"/>
          <w:kern w:val="0"/>
          <w:sz w:val="24"/>
          <w:szCs w:val="24"/>
          <w:lang w:eastAsia="zh-CN"/>
        </w:rPr>
        <w:t>）</w:t>
      </w:r>
      <w:r>
        <w:rPr>
          <w:rFonts w:ascii="Times New Roman" w:hAnsi="Times New Roman"/>
          <w:color w:val="auto"/>
          <w:kern w:val="0"/>
          <w:sz w:val="24"/>
          <w:szCs w:val="24"/>
        </w:rPr>
        <w:t>必须在</w:t>
      </w:r>
      <w:r>
        <w:rPr>
          <w:rFonts w:hint="eastAsia" w:ascii="Times New Roman" w:hAnsi="Times New Roman"/>
          <w:color w:val="auto"/>
          <w:kern w:val="0"/>
          <w:sz w:val="24"/>
          <w:szCs w:val="24"/>
          <w:lang w:eastAsia="zh-CN"/>
        </w:rPr>
        <w:t>保证在响应文件递交</w:t>
      </w:r>
      <w:r>
        <w:rPr>
          <w:rFonts w:ascii="Times New Roman" w:hAnsi="Times New Roman"/>
          <w:color w:val="auto"/>
          <w:kern w:val="0"/>
          <w:sz w:val="24"/>
          <w:szCs w:val="24"/>
        </w:rPr>
        <w:t>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color w:val="auto"/>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color w:val="auto"/>
          <w:kern w:val="0"/>
          <w:sz w:val="24"/>
          <w:szCs w:val="24"/>
          <w:lang w:val="en-US" w:eastAsia="zh-CN"/>
        </w:rPr>
      </w:pPr>
      <w:r>
        <w:rPr>
          <w:rFonts w:hint="eastAsia" w:ascii="Times New Roman" w:hAnsi="Times New Roman"/>
          <w:b w:val="0"/>
          <w:bCs w:val="0"/>
          <w:color w:val="auto"/>
          <w:kern w:val="0"/>
          <w:sz w:val="24"/>
          <w:szCs w:val="24"/>
          <w:lang w:val="en-US" w:eastAsia="zh-CN"/>
        </w:rPr>
        <w:t>3、</w:t>
      </w:r>
      <w:r>
        <w:rPr>
          <w:rFonts w:hint="eastAsia" w:ascii="Times New Roman" w:hAnsi="Times New Roman"/>
          <w:color w:val="auto"/>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pageBreakBefore w:val="0"/>
        <w:kinsoku/>
        <w:wordWrap/>
        <w:overflowPunct/>
        <w:topLinePunct w:val="0"/>
        <w:bidi w:val="0"/>
        <w:snapToGrid/>
        <w:spacing w:line="400" w:lineRule="exact"/>
        <w:textAlignment w:val="auto"/>
        <w:rPr>
          <w:rFonts w:ascii="Times New Roman" w:hAnsi="Times New Roman"/>
          <w:b w:val="0"/>
          <w:bCs/>
          <w:color w:val="auto"/>
          <w:kern w:val="0"/>
          <w:sz w:val="24"/>
          <w:szCs w:val="24"/>
        </w:rPr>
      </w:pPr>
      <w:r>
        <w:rPr>
          <w:rFonts w:hint="eastAsia" w:ascii="Times New Roman" w:hAnsi="Times New Roman"/>
          <w:b/>
          <w:color w:val="auto"/>
          <w:kern w:val="0"/>
          <w:sz w:val="24"/>
          <w:szCs w:val="24"/>
        </w:rPr>
        <w:t>九、</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pageBreakBefore w:val="0"/>
        <w:kinsoku/>
        <w:wordWrap/>
        <w:overflowPunct/>
        <w:topLinePunct w:val="0"/>
        <w:bidi w:val="0"/>
        <w:snapToGrid/>
        <w:spacing w:line="40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十、</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pPr>
        <w:pageBreakBefore w:val="0"/>
        <w:kinsoku/>
        <w:wordWrap/>
        <w:overflowPunct/>
        <w:topLinePunct w:val="0"/>
        <w:bidi w:val="0"/>
        <w:snapToGrid/>
        <w:spacing w:line="40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rPr>
        <w:t>十一、</w:t>
      </w:r>
      <w:r>
        <w:rPr>
          <w:rFonts w:ascii="Times New Roman" w:hAnsi="Times New Roman"/>
          <w:b/>
          <w:bCs/>
          <w:color w:val="auto"/>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color w:val="auto"/>
          <w:sz w:val="24"/>
          <w:szCs w:val="24"/>
        </w:rPr>
      </w:pPr>
      <w:r>
        <w:rPr>
          <w:rFonts w:hint="eastAsia" w:ascii="Times New Roman" w:hAnsi="Times New Roman"/>
          <w:color w:val="auto"/>
          <w:sz w:val="24"/>
          <w:szCs w:val="24"/>
        </w:rPr>
        <w:t>采购</w:t>
      </w:r>
      <w:r>
        <w:rPr>
          <w:rFonts w:ascii="Times New Roman" w:hAnsi="Times New Roman"/>
          <w:color w:val="auto"/>
          <w:sz w:val="24"/>
          <w:szCs w:val="24"/>
        </w:rPr>
        <w:t>人：</w:t>
      </w:r>
      <w:r>
        <w:rPr>
          <w:rFonts w:hint="eastAsia" w:ascii="Times New Roman" w:hAnsi="Times New Roman"/>
          <w:color w:val="auto"/>
          <w:sz w:val="24"/>
          <w:szCs w:val="24"/>
        </w:rPr>
        <w:t>三台县人民医院</w:t>
      </w:r>
    </w:p>
    <w:p>
      <w:pPr>
        <w:pStyle w:val="43"/>
        <w:pageBreakBefore w:val="0"/>
        <w:kinsoku/>
        <w:wordWrap/>
        <w:overflowPunct/>
        <w:topLinePunct w:val="0"/>
        <w:bidi w:val="0"/>
        <w:snapToGrid/>
        <w:spacing w:line="400" w:lineRule="exact"/>
        <w:ind w:left="560" w:firstLine="0" w:firstLineChars="0"/>
        <w:contextualSpacing/>
        <w:textAlignment w:val="auto"/>
        <w:rPr>
          <w:color w:val="auto"/>
          <w:sz w:val="24"/>
          <w:szCs w:val="24"/>
        </w:rPr>
      </w:pPr>
      <w:r>
        <w:rPr>
          <w:color w:val="auto"/>
          <w:sz w:val="24"/>
          <w:szCs w:val="24"/>
        </w:rPr>
        <w:t>地  址：</w:t>
      </w:r>
      <w:r>
        <w:rPr>
          <w:rFonts w:hint="eastAsia"/>
          <w:color w:val="auto"/>
          <w:sz w:val="24"/>
          <w:szCs w:val="24"/>
        </w:rPr>
        <w:t>三台县潼川镇解放下街139号</w:t>
      </w:r>
    </w:p>
    <w:p>
      <w:pPr>
        <w:pStyle w:val="43"/>
        <w:pageBreakBefore w:val="0"/>
        <w:kinsoku/>
        <w:wordWrap/>
        <w:overflowPunct/>
        <w:topLinePunct w:val="0"/>
        <w:bidi w:val="0"/>
        <w:snapToGrid/>
        <w:spacing w:line="400" w:lineRule="exact"/>
        <w:ind w:left="560" w:firstLine="0" w:firstLineChars="0"/>
        <w:contextualSpacing/>
        <w:textAlignment w:val="auto"/>
        <w:rPr>
          <w:color w:val="auto"/>
          <w:sz w:val="24"/>
          <w:szCs w:val="24"/>
        </w:rPr>
      </w:pPr>
      <w:r>
        <w:rPr>
          <w:color w:val="auto"/>
          <w:sz w:val="24"/>
          <w:szCs w:val="24"/>
        </w:rPr>
        <w:t>联系人：</w:t>
      </w:r>
      <w:r>
        <w:rPr>
          <w:rFonts w:hint="eastAsia"/>
          <w:color w:val="auto"/>
          <w:sz w:val="24"/>
          <w:szCs w:val="24"/>
        </w:rPr>
        <w:t>张老师</w:t>
      </w:r>
    </w:p>
    <w:p>
      <w:pPr>
        <w:pStyle w:val="43"/>
        <w:pageBreakBefore w:val="0"/>
        <w:kinsoku/>
        <w:wordWrap/>
        <w:overflowPunct/>
        <w:topLinePunct w:val="0"/>
        <w:bidi w:val="0"/>
        <w:snapToGrid/>
        <w:spacing w:line="400" w:lineRule="exact"/>
        <w:ind w:left="560" w:firstLine="0" w:firstLineChars="0"/>
        <w:contextualSpacing/>
        <w:textAlignment w:val="auto"/>
        <w:rPr>
          <w:color w:val="auto"/>
          <w:sz w:val="24"/>
          <w:szCs w:val="24"/>
        </w:rPr>
      </w:pPr>
      <w:r>
        <w:rPr>
          <w:color w:val="auto"/>
          <w:sz w:val="24"/>
          <w:szCs w:val="24"/>
        </w:rPr>
        <w:t>电  话：</w:t>
      </w:r>
      <w:r>
        <w:rPr>
          <w:rFonts w:hint="eastAsia"/>
          <w:color w:val="auto"/>
          <w:sz w:val="24"/>
          <w:szCs w:val="24"/>
          <w:lang w:val="en-US" w:eastAsia="zh-CN"/>
        </w:rPr>
        <w:t>0816</w:t>
      </w:r>
      <w:r>
        <w:rPr>
          <w:color w:val="auto"/>
          <w:sz w:val="24"/>
          <w:szCs w:val="24"/>
        </w:rPr>
        <w:t>-</w:t>
      </w:r>
      <w:r>
        <w:rPr>
          <w:rFonts w:hint="eastAsia"/>
          <w:color w:val="auto"/>
          <w:sz w:val="24"/>
          <w:szCs w:val="24"/>
        </w:rPr>
        <w:t>5222252</w:t>
      </w:r>
      <w:bookmarkStart w:id="1" w:name="_Toc52036323"/>
      <w:bookmarkStart w:id="2" w:name="_Toc520455380"/>
      <w:bookmarkStart w:id="3" w:name="_Toc418004672"/>
      <w:r>
        <w:rPr>
          <w:color w:val="auto"/>
          <w:sz w:val="24"/>
          <w:szCs w:val="24"/>
        </w:rPr>
        <w:t xml:space="preserve"> </w:t>
      </w:r>
      <w:bookmarkEnd w:id="1"/>
      <w:bookmarkEnd w:id="2"/>
      <w:bookmarkEnd w:id="3"/>
      <w:bookmarkStart w:id="4" w:name="_Toc52036324"/>
    </w:p>
    <w:p>
      <w:pPr>
        <w:rPr>
          <w:color w:val="auto"/>
          <w:sz w:val="24"/>
          <w:szCs w:val="24"/>
        </w:rPr>
      </w:pPr>
      <w:r>
        <w:rPr>
          <w:color w:val="auto"/>
          <w:sz w:val="24"/>
          <w:szCs w:val="24"/>
        </w:rPr>
        <w:br w:type="page"/>
      </w:r>
    </w:p>
    <w:p>
      <w:pPr>
        <w:widowControl/>
        <w:spacing w:line="360" w:lineRule="auto"/>
        <w:jc w:val="center"/>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4"/>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bookmarkStart w:id="5" w:name="_Toc233048245"/>
      <w:bookmarkStart w:id="6" w:name="_Toc350964160"/>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1、基本要求：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(1)设备数量：一台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▲（2）最大产氧量≥40Nm/h；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▲(3)在确保氧气浓度、产量均符合标准的情况下分子筛无条件保用10年,不得更换，如需更换或添加，由供应商负责费用（须于投标文件中提供制造商承诺书）。</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(4)氧气浓度低于90%不得向氧气储罐输送氧气，确保医院用氧安全（说明具体实现方式）。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▲(5)制氧设备采用节能技术，每立方氧气能耗＜0.8kW（提供省级及以上医疗器械检验中心出具的报告证明）。</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2、设备主要技术参数及配置:</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2.1制氧主机（1台）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▲(1)吸附塔工作压力：≤0.1Mpa，确保分子筛不粉化（需提供对应的技术证明文件,包括但不限于注册检验报告、知识产权证书、具有检验资质的检测机构出具的检测报告）；</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（2）分子筛使用寿命大于10年；</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（3）主机配置彩色触摸屏实时显示系统流程、氧气浓度、流量、压力，浓度历史数据存储时间不低于10天。可通过触摸屏本地调整设备参数。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2.2制氧专用无油空气压缩机（1台）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▲（1）无油空气压缩机，杜绝压缩空气中的油分对分子筛造成不利影响（需提供对应的技术证明文件,包括但不限于注册检验报告、知识产权证书、具有检验资质的检测机构出具的检测报告）。</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▲（2）单台设备功率：＜20kW。</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（3)排气压力：   ≤0.1Mpa；</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(4）排气量： ≥400Nm3/h。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2.3冷却式干燥机（1台）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 额定处理气量：≥600Nm3/h；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 xml:space="preserve">(2) 冷却方式：    风冷；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 功率：        ≤2kW。</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2.4氧压机（2台）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 输出压力：  1.0MPa；</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 排气量：    ≥40m3/h；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 输出的氧气不含油份；</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 功率：     ≤7.5kW。</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2.5全自动氧气供应系统（1台）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除臭过滤精度： 0.01μm；</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除臭处理气量： ≥210m3/h；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除菌过滤精度： 0.01μm；</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除菌处理气量： ≥120m3/h；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氧浓度测试精度：误差≤±1%FS；</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氧浓度显示方式：触摸屏适时显示；</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氧浓度测量范围: 10%～99.99%。</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流量显示方式：液晶显示；</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流量量程：0.048-48m3/h；</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（10）流量精度：±（1.5+0.5FS）%。</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2.6氧气储罐（2台）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单台容积：≥3m3</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工作压力：1.0MPa；</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工作温度：常温；</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采用优质碳钢制造；</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 xml:space="preserve">   （5） 安全阀：4个</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2.7氧气质量必须满足：</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（1）氧气完全无油、无气味；</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（2）氧气浓度：90%～96%(V/V)；</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（3）水分含量：≤0.07 g/m3；</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（4）固体物质粒径：≤10 μm；</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（5）固体物质含量：≤0.5 mg/m3；</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（6）二氧化碳含量：符合GB 8982-1998中5.3的规定；</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（7）一氧化碳含量：符合GB 8982-1998中5.4的规定；</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（8）气态酸和气态碱含量：符合GB 8982-1998中5.5的规定；</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（9）臭氧及其他气态氧化物含量：符合GB 8982-1998中5.6的规定。</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2.7医用分子筛制氧设备全自动控制柜（1台）</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 采用PLC控制；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 具有电机过载、缺相及相序保护功能。</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2.8远程监控系统</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实时监测医用分子筛制氧设备的各种运行参数（包括压力、浓度、运行状态等），自动采集数据并传输到指定的服务器；</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▲（2）参数异常时，可通过手机短信发给指定的管理人员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▲（3）系统管理人员可在任意地点上网查询系统工作状态。</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★3、机房、压力容器使用许可：包含电源柜、机房减震、降噪以及通风换气装置等符合国家相关要求，包含压力容器使用许可证的办理。本项目为 交钥匙工程</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2.1质保期：≥3年。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货到安装验收合格1个月内付合同总价的90%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w:t>
      </w:r>
      <w:r>
        <w:rPr>
          <w:rFonts w:hint="eastAsia" w:ascii="宋体" w:hAnsi="宋体" w:cs="宋体"/>
          <w:color w:val="auto"/>
          <w:sz w:val="28"/>
          <w:szCs w:val="28"/>
          <w:lang w:eastAsia="zh-CN"/>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auto"/>
          <w:kern w:val="0"/>
          <w:sz w:val="32"/>
          <w:szCs w:val="32"/>
        </w:rPr>
      </w:pPr>
      <w:bookmarkStart w:id="9" w:name="_Toc520455385"/>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bCs w:val="0"/>
          <w:color w:val="auto"/>
          <w:kern w:val="0"/>
          <w:sz w:val="24"/>
          <w:szCs w:val="20"/>
          <w:lang w:eastAsia="zh-CN"/>
        </w:rPr>
        <w:t>。</w:t>
      </w:r>
    </w:p>
    <w:p>
      <w:pPr>
        <w:widowControl/>
        <w:adjustRightInd w:val="0"/>
        <w:snapToGrid w:val="0"/>
        <w:spacing w:line="400" w:lineRule="exact"/>
        <w:jc w:val="left"/>
        <w:rPr>
          <w:rFonts w:ascii="Times New Roman" w:hAnsi="Times New Roman"/>
          <w:b/>
          <w:bCs/>
          <w:color w:val="auto"/>
          <w:kern w:val="0"/>
          <w:sz w:val="24"/>
          <w:szCs w:val="20"/>
        </w:rPr>
      </w:pPr>
    </w:p>
    <w:p>
      <w:pPr>
        <w:widowControl/>
        <w:adjustRightInd w:val="0"/>
        <w:snapToGrid w:val="0"/>
        <w:spacing w:line="400" w:lineRule="exact"/>
        <w:jc w:val="left"/>
        <w:rPr>
          <w:color w:val="auto"/>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bookmarkEnd w:id="9"/>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6</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0.3</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w:t>
            </w:r>
            <w:r>
              <w:rPr>
                <w:rFonts w:hint="eastAsia" w:ascii="宋体" w:hAnsi="宋体" w:cs="Times New Roman"/>
                <w:color w:val="auto"/>
                <w:sz w:val="24"/>
                <w:szCs w:val="24"/>
                <w:lang w:val="en-US" w:eastAsia="zh-CN"/>
              </w:rPr>
              <w:t>0</w:t>
            </w:r>
            <w:r>
              <w:rPr>
                <w:rFonts w:hint="eastAsia" w:ascii="宋体" w:hAnsi="宋体" w:eastAsia="宋体" w:cs="Times New Roman"/>
                <w:color w:val="auto"/>
                <w:sz w:val="24"/>
                <w:szCs w:val="24"/>
              </w:rPr>
              <w:t>.5分，扣完为止。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auto"/>
          <w:kern w:val="0"/>
          <w:sz w:val="24"/>
          <w:szCs w:val="20"/>
          <w:lang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color w:val="auto"/>
          <w:sz w:val="36"/>
          <w:szCs w:val="36"/>
        </w:rPr>
      </w:pPr>
      <w:r>
        <w:rPr>
          <w:rFonts w:ascii="Times New Roman" w:hAnsi="Times New Roman"/>
          <w:color w:val="auto"/>
          <w:sz w:val="36"/>
          <w:szCs w:val="36"/>
        </w:rPr>
        <w:t xml:space="preserve"> 响应文件格式</w:t>
      </w:r>
      <w:bookmarkEnd w:id="7"/>
      <w:bookmarkEnd w:id="8"/>
      <w:r>
        <w:rPr>
          <w:rFonts w:hint="eastAsia" w:ascii="Times New Roman" w:hAnsi="Times New Roman"/>
          <w:color w:val="auto"/>
          <w:sz w:val="36"/>
          <w:szCs w:val="36"/>
        </w:rPr>
        <w:t>和要求</w:t>
      </w:r>
    </w:p>
    <w:p>
      <w:pPr>
        <w:numPr>
          <w:ilvl w:val="0"/>
          <w:numId w:val="0"/>
        </w:numPr>
        <w:rPr>
          <w:color w:val="auto"/>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color w:val="auto"/>
          <w:kern w:val="0"/>
          <w:sz w:val="24"/>
          <w:szCs w:val="24"/>
          <w:lang w:val="zh-CN"/>
        </w:rPr>
      </w:pPr>
      <w:r>
        <w:rPr>
          <w:rFonts w:hint="eastAsia" w:ascii="Times New Roman" w:hAnsi="Times New Roman"/>
          <w:b/>
          <w:bCs/>
          <w:color w:val="auto"/>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color w:val="auto"/>
          <w:kern w:val="0"/>
          <w:sz w:val="24"/>
          <w:szCs w:val="24"/>
          <w:lang w:val="zh-CN"/>
        </w:rPr>
      </w:pPr>
      <w:r>
        <w:rPr>
          <w:rFonts w:hint="eastAsia" w:ascii="Times New Roman" w:hAnsi="Times New Roman"/>
          <w:b/>
          <w:bCs/>
          <w:color w:val="auto"/>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2、提供具有良好的商业信誉承诺书及20</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lang w:val="zh-CN"/>
        </w:rPr>
        <w:t>年度</w:t>
      </w:r>
      <w:r>
        <w:rPr>
          <w:rFonts w:hint="eastAsia" w:ascii="Times New Roman" w:hAnsi="Times New Roman"/>
          <w:color w:val="auto"/>
          <w:kern w:val="0"/>
          <w:sz w:val="24"/>
          <w:szCs w:val="24"/>
          <w:lang w:val="zh-CN"/>
        </w:rPr>
        <w:t>或202</w:t>
      </w:r>
      <w:r>
        <w:rPr>
          <w:rFonts w:hint="eastAsia" w:ascii="Times New Roman" w:hAnsi="Times New Roman"/>
          <w:color w:val="auto"/>
          <w:kern w:val="0"/>
          <w:sz w:val="24"/>
          <w:szCs w:val="24"/>
          <w:lang w:val="en-US" w:eastAsia="zh-CN"/>
        </w:rPr>
        <w:t>1</w:t>
      </w:r>
      <w:r>
        <w:rPr>
          <w:rFonts w:hint="eastAsia" w:ascii="Times New Roman" w:hAnsi="Times New Roman"/>
          <w:color w:val="auto"/>
          <w:kern w:val="0"/>
          <w:sz w:val="24"/>
          <w:szCs w:val="24"/>
          <w:lang w:val="zh-CN"/>
        </w:rPr>
        <w:t>年</w:t>
      </w:r>
      <w:r>
        <w:rPr>
          <w:rFonts w:ascii="Times New Roman" w:hAnsi="Times New Roman"/>
          <w:color w:val="auto"/>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注：可提供承诺函</w:t>
      </w:r>
      <w:r>
        <w:rPr>
          <w:rFonts w:hint="eastAsia" w:ascii="Times New Roman" w:hAnsi="Times New Roman"/>
          <w:color w:val="auto"/>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ascii="Times New Roman" w:hAnsi="Times New Roman"/>
          <w:color w:val="auto"/>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color w:val="auto"/>
          <w:kern w:val="0"/>
          <w:sz w:val="24"/>
          <w:szCs w:val="24"/>
          <w:lang w:val="en-US" w:eastAsia="zh-CN"/>
        </w:rPr>
      </w:pPr>
      <w:r>
        <w:rPr>
          <w:rFonts w:ascii="Times New Roman" w:hAnsi="Times New Roman"/>
          <w:color w:val="auto"/>
          <w:kern w:val="0"/>
          <w:sz w:val="24"/>
          <w:szCs w:val="24"/>
          <w:lang w:val="zh-CN"/>
        </w:rPr>
        <w:t>9、</w:t>
      </w:r>
      <w:r>
        <w:rPr>
          <w:rFonts w:hint="eastAsia" w:ascii="Times New Roman" w:hAnsi="Times New Roman"/>
          <w:color w:val="auto"/>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color w:val="auto"/>
          <w:kern w:val="0"/>
          <w:sz w:val="24"/>
          <w:szCs w:val="24"/>
          <w:lang w:val="zh-CN"/>
        </w:rPr>
      </w:pPr>
      <w:r>
        <w:rPr>
          <w:rFonts w:hint="eastAsia" w:ascii="Times New Roman" w:hAnsi="Times New Roman"/>
          <w:b/>
          <w:bCs/>
          <w:color w:val="auto"/>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hint="eastAsia" w:ascii="Times New Roman" w:hAnsi="Times New Roman"/>
          <w:color w:val="auto"/>
          <w:kern w:val="0"/>
          <w:sz w:val="24"/>
          <w:szCs w:val="24"/>
          <w:lang w:val="en-US" w:eastAsia="zh-CN"/>
        </w:rPr>
        <w:t>1、</w:t>
      </w:r>
      <w:r>
        <w:rPr>
          <w:rFonts w:ascii="Times New Roman" w:hAnsi="Times New Roman"/>
          <w:color w:val="auto"/>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color w:val="auto"/>
          <w:kern w:val="0"/>
          <w:sz w:val="24"/>
          <w:szCs w:val="24"/>
          <w:lang w:val="zh-CN"/>
        </w:rPr>
      </w:pP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color w:val="auto"/>
          <w:kern w:val="0"/>
          <w:sz w:val="32"/>
          <w:szCs w:val="20"/>
        </w:rPr>
      </w:pPr>
      <w:r>
        <w:rPr>
          <w:rFonts w:hint="eastAsia" w:ascii="Times New Roman" w:hAnsi="Times New Roman"/>
          <w:color w:val="auto"/>
          <w:kern w:val="0"/>
          <w:sz w:val="24"/>
          <w:szCs w:val="24"/>
          <w:lang w:val="en-US" w:eastAsia="zh-CN"/>
        </w:rPr>
        <w:t>3、</w:t>
      </w:r>
      <w:r>
        <w:rPr>
          <w:rFonts w:ascii="Times New Roman" w:hAnsi="Times New Roman"/>
          <w:color w:val="auto"/>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color w:val="auto"/>
          <w:kern w:val="0"/>
          <w:sz w:val="24"/>
          <w:szCs w:val="24"/>
          <w:lang w:val="zh-CN"/>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10" w:name="_Toc52036326"/>
      <w:bookmarkStart w:id="11" w:name="_Toc33709793"/>
      <w:bookmarkStart w:id="12" w:name="_Toc33698132"/>
      <w:bookmarkStart w:id="13" w:name="_Toc34051805"/>
      <w:bookmarkStart w:id="14" w:name="_Toc40447267"/>
      <w:r>
        <w:rPr>
          <w:rFonts w:ascii="Times New Roman" w:hAnsi="Times New Roman" w:eastAsia="黑体"/>
          <w:b/>
          <w:color w:val="auto"/>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5" w:name="_Toc33709794"/>
      <w:bookmarkStart w:id="16" w:name="_Toc33698133"/>
      <w:bookmarkStart w:id="17" w:name="_Toc40447268"/>
      <w:bookmarkStart w:id="18" w:name="_Toc34051806"/>
      <w:bookmarkStart w:id="19" w:name="_Toc52036327"/>
      <w:r>
        <w:rPr>
          <w:rFonts w:ascii="Times New Roman" w:hAnsi="Times New Roman" w:eastAsia="黑体"/>
          <w:b/>
          <w:color w:val="auto"/>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20" w:name="_Toc34051807"/>
      <w:bookmarkStart w:id="21" w:name="_Toc33709795"/>
      <w:bookmarkStart w:id="22" w:name="_Toc40447269"/>
      <w:bookmarkStart w:id="23" w:name="_Toc52036328"/>
      <w:bookmarkStart w:id="24" w:name="_Toc33698134"/>
      <w:r>
        <w:rPr>
          <w:rFonts w:ascii="Times New Roman" w:hAnsi="Times New Roman" w:eastAsia="黑体"/>
          <w:b/>
          <w:color w:val="auto"/>
          <w:kern w:val="0"/>
          <w:sz w:val="32"/>
          <w:szCs w:val="32"/>
        </w:rPr>
        <w:t>三、承诺函</w:t>
      </w:r>
      <w:bookmarkEnd w:id="20"/>
      <w:bookmarkEnd w:id="21"/>
      <w:bookmarkEnd w:id="22"/>
      <w:bookmarkEnd w:id="23"/>
      <w:bookmarkEnd w:id="24"/>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5" w:name="_Toc33709796"/>
      <w:bookmarkStart w:id="26" w:name="_Toc34051808"/>
      <w:bookmarkStart w:id="27" w:name="_Toc40447270"/>
      <w:bookmarkStart w:id="28" w:name="_Toc33698135"/>
      <w:bookmarkStart w:id="29" w:name="_Toc52036329"/>
      <w:r>
        <w:rPr>
          <w:rFonts w:ascii="Times New Roman" w:hAnsi="Times New Roman" w:eastAsia="黑体"/>
          <w:b/>
          <w:color w:val="auto"/>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30" w:name="_Toc436820890"/>
      <w:bookmarkStart w:id="31" w:name="_Toc307564880"/>
      <w:bookmarkStart w:id="32" w:name="_Toc436410129"/>
      <w:bookmarkStart w:id="33" w:name="_Toc436385992"/>
      <w:bookmarkStart w:id="34" w:name="_Toc436404120"/>
      <w:r>
        <w:rPr>
          <w:rFonts w:ascii="Times New Roman" w:hAnsi="Times New Roman"/>
          <w:color w:val="auto"/>
          <w:kern w:val="0"/>
          <w:sz w:val="24"/>
          <w:szCs w:val="20"/>
        </w:rPr>
        <w:br w:type="page"/>
      </w:r>
      <w:bookmarkEnd w:id="30"/>
      <w:bookmarkEnd w:id="31"/>
      <w:bookmarkEnd w:id="32"/>
      <w:bookmarkEnd w:id="33"/>
      <w:bookmarkEnd w:id="34"/>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5" w:name="_Toc503986415"/>
      <w:bookmarkStart w:id="36" w:name="_Toc503987183"/>
      <w:bookmarkStart w:id="37" w:name="_Toc503987293"/>
      <w:bookmarkStart w:id="38" w:name="_Toc503987104"/>
      <w:bookmarkStart w:id="39" w:name="_Toc503986971"/>
      <w:bookmarkStart w:id="40" w:name="_Toc503986838"/>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1" w:name="_Toc52036330"/>
      <w:bookmarkStart w:id="42" w:name="_Toc33709797"/>
      <w:bookmarkStart w:id="43" w:name="_Toc34051809"/>
      <w:bookmarkStart w:id="44" w:name="_Toc33698136"/>
      <w:bookmarkStart w:id="45" w:name="_Toc40447271"/>
      <w:r>
        <w:rPr>
          <w:rFonts w:ascii="Times New Roman" w:hAnsi="Times New Roman" w:eastAsia="黑体"/>
          <w:b/>
          <w:color w:val="auto"/>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6" w:name="_Toc33709798"/>
      <w:bookmarkStart w:id="47" w:name="_Toc40447272"/>
      <w:bookmarkStart w:id="48" w:name="_Toc34051810"/>
      <w:bookmarkStart w:id="49" w:name="_Toc52036331"/>
      <w:bookmarkStart w:id="50" w:name="_Toc33698137"/>
      <w:r>
        <w:rPr>
          <w:rFonts w:ascii="Times New Roman" w:hAnsi="Times New Roman" w:eastAsia="黑体"/>
          <w:b/>
          <w:color w:val="auto"/>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1"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1"/>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Cambria">
    <w:panose1 w:val="020405030504060A0204"/>
    <w:charset w:val="00"/>
    <w:family w:val="roman"/>
    <w:pitch w:val="default"/>
    <w:sig w:usb0="E00002FF" w:usb1="4000045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Rounded MT Bold">
    <w:panose1 w:val="020F0704030504030204"/>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YjQ1ZTBiYjA5ZmVjNzc5MWE0Y2Q2MzdiYjZhYzY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2E611CF"/>
    <w:rsid w:val="04E70C2A"/>
    <w:rsid w:val="082E244F"/>
    <w:rsid w:val="0AFA5A96"/>
    <w:rsid w:val="0B6010B4"/>
    <w:rsid w:val="0B873320"/>
    <w:rsid w:val="0CD27FFC"/>
    <w:rsid w:val="0D0F4ED6"/>
    <w:rsid w:val="0DAC4D70"/>
    <w:rsid w:val="0E677033"/>
    <w:rsid w:val="0E7F1957"/>
    <w:rsid w:val="0EA63619"/>
    <w:rsid w:val="113B16DB"/>
    <w:rsid w:val="12CE1DD4"/>
    <w:rsid w:val="14E84654"/>
    <w:rsid w:val="151614F8"/>
    <w:rsid w:val="15200185"/>
    <w:rsid w:val="15304B56"/>
    <w:rsid w:val="17122347"/>
    <w:rsid w:val="17F6222D"/>
    <w:rsid w:val="18461C09"/>
    <w:rsid w:val="18575D15"/>
    <w:rsid w:val="1B266D2D"/>
    <w:rsid w:val="1B2B7BB1"/>
    <w:rsid w:val="1B4D05AA"/>
    <w:rsid w:val="1B856069"/>
    <w:rsid w:val="1BAC4722"/>
    <w:rsid w:val="1C281231"/>
    <w:rsid w:val="1C88336B"/>
    <w:rsid w:val="1CB57848"/>
    <w:rsid w:val="1CBF41C4"/>
    <w:rsid w:val="1DA63635"/>
    <w:rsid w:val="1E0A001A"/>
    <w:rsid w:val="1E5F07E5"/>
    <w:rsid w:val="1E9B5F74"/>
    <w:rsid w:val="1F1D0593"/>
    <w:rsid w:val="1F2324A2"/>
    <w:rsid w:val="1FAE4192"/>
    <w:rsid w:val="1FDE786A"/>
    <w:rsid w:val="1FE401DF"/>
    <w:rsid w:val="20A2053B"/>
    <w:rsid w:val="20D42641"/>
    <w:rsid w:val="20D54F08"/>
    <w:rsid w:val="20ED7DFF"/>
    <w:rsid w:val="22034BB2"/>
    <w:rsid w:val="22CA3482"/>
    <w:rsid w:val="247F6619"/>
    <w:rsid w:val="26463681"/>
    <w:rsid w:val="271909D4"/>
    <w:rsid w:val="27457A1B"/>
    <w:rsid w:val="28A10C81"/>
    <w:rsid w:val="29A7364C"/>
    <w:rsid w:val="2A092A55"/>
    <w:rsid w:val="2A50295E"/>
    <w:rsid w:val="2B970CE2"/>
    <w:rsid w:val="2BD0497A"/>
    <w:rsid w:val="2BF11E95"/>
    <w:rsid w:val="2BFC0981"/>
    <w:rsid w:val="2C3D371C"/>
    <w:rsid w:val="2D7C46D0"/>
    <w:rsid w:val="2E9830C6"/>
    <w:rsid w:val="2F5D26AF"/>
    <w:rsid w:val="2FB70420"/>
    <w:rsid w:val="31B9528D"/>
    <w:rsid w:val="32C77752"/>
    <w:rsid w:val="32CD2AF9"/>
    <w:rsid w:val="32E80129"/>
    <w:rsid w:val="33D16649"/>
    <w:rsid w:val="3410163B"/>
    <w:rsid w:val="352C0BF7"/>
    <w:rsid w:val="35A85AF1"/>
    <w:rsid w:val="35CD57AB"/>
    <w:rsid w:val="35DF103A"/>
    <w:rsid w:val="3609706D"/>
    <w:rsid w:val="36F100CE"/>
    <w:rsid w:val="37164E99"/>
    <w:rsid w:val="3839273F"/>
    <w:rsid w:val="39202673"/>
    <w:rsid w:val="3A83468A"/>
    <w:rsid w:val="3BE1743B"/>
    <w:rsid w:val="3BEF15D8"/>
    <w:rsid w:val="3BF758E5"/>
    <w:rsid w:val="3C693B9A"/>
    <w:rsid w:val="3F3026AC"/>
    <w:rsid w:val="3FDC7247"/>
    <w:rsid w:val="40F37FB8"/>
    <w:rsid w:val="42A96C58"/>
    <w:rsid w:val="444F0625"/>
    <w:rsid w:val="45392515"/>
    <w:rsid w:val="458A40C2"/>
    <w:rsid w:val="45BE1E11"/>
    <w:rsid w:val="45EA0429"/>
    <w:rsid w:val="46BF7F1F"/>
    <w:rsid w:val="46D1677D"/>
    <w:rsid w:val="46FB0382"/>
    <w:rsid w:val="472C4F7A"/>
    <w:rsid w:val="478661AE"/>
    <w:rsid w:val="47EB6865"/>
    <w:rsid w:val="493C1070"/>
    <w:rsid w:val="497C50C6"/>
    <w:rsid w:val="49EF479F"/>
    <w:rsid w:val="4BB548C0"/>
    <w:rsid w:val="4BC43E4C"/>
    <w:rsid w:val="4C2C6594"/>
    <w:rsid w:val="4C7D185E"/>
    <w:rsid w:val="4E81291C"/>
    <w:rsid w:val="4FC7696F"/>
    <w:rsid w:val="50165E6F"/>
    <w:rsid w:val="50277BC9"/>
    <w:rsid w:val="50D15CF8"/>
    <w:rsid w:val="50D91050"/>
    <w:rsid w:val="51066F16"/>
    <w:rsid w:val="51AE40DC"/>
    <w:rsid w:val="52B14033"/>
    <w:rsid w:val="531C155C"/>
    <w:rsid w:val="53455021"/>
    <w:rsid w:val="5367649F"/>
    <w:rsid w:val="538A508B"/>
    <w:rsid w:val="5422686A"/>
    <w:rsid w:val="54B75204"/>
    <w:rsid w:val="55356E1A"/>
    <w:rsid w:val="568E6439"/>
    <w:rsid w:val="56B93C5A"/>
    <w:rsid w:val="573963A5"/>
    <w:rsid w:val="578E0FAB"/>
    <w:rsid w:val="58360F93"/>
    <w:rsid w:val="58BA1F78"/>
    <w:rsid w:val="599D70BF"/>
    <w:rsid w:val="59C55685"/>
    <w:rsid w:val="5AA9706F"/>
    <w:rsid w:val="5AAD383C"/>
    <w:rsid w:val="5B505E97"/>
    <w:rsid w:val="5D8944D3"/>
    <w:rsid w:val="5DCB4FC2"/>
    <w:rsid w:val="5DD8138D"/>
    <w:rsid w:val="5DEF0CB7"/>
    <w:rsid w:val="5E435D5B"/>
    <w:rsid w:val="5EBF7E2B"/>
    <w:rsid w:val="5F9B0133"/>
    <w:rsid w:val="60E75FA3"/>
    <w:rsid w:val="611E7ED2"/>
    <w:rsid w:val="617A7CE6"/>
    <w:rsid w:val="62892A63"/>
    <w:rsid w:val="64493A24"/>
    <w:rsid w:val="64633872"/>
    <w:rsid w:val="64A01811"/>
    <w:rsid w:val="659F01D8"/>
    <w:rsid w:val="66350708"/>
    <w:rsid w:val="6686620A"/>
    <w:rsid w:val="67FC1454"/>
    <w:rsid w:val="68871E97"/>
    <w:rsid w:val="68B977C1"/>
    <w:rsid w:val="692844CB"/>
    <w:rsid w:val="69E4351C"/>
    <w:rsid w:val="6A4F2F1A"/>
    <w:rsid w:val="6A841E39"/>
    <w:rsid w:val="6ABE0C43"/>
    <w:rsid w:val="6B7B6001"/>
    <w:rsid w:val="6B8A20A2"/>
    <w:rsid w:val="6B8C2459"/>
    <w:rsid w:val="6BB8153D"/>
    <w:rsid w:val="6BDF60AB"/>
    <w:rsid w:val="6C320399"/>
    <w:rsid w:val="6C495117"/>
    <w:rsid w:val="6C755241"/>
    <w:rsid w:val="6D50327E"/>
    <w:rsid w:val="6F2C102A"/>
    <w:rsid w:val="6F514ADE"/>
    <w:rsid w:val="6F833AC6"/>
    <w:rsid w:val="6FA74BB9"/>
    <w:rsid w:val="6FD902CD"/>
    <w:rsid w:val="713951B9"/>
    <w:rsid w:val="71593422"/>
    <w:rsid w:val="72B059E8"/>
    <w:rsid w:val="72BE0D48"/>
    <w:rsid w:val="732C647B"/>
    <w:rsid w:val="7353202C"/>
    <w:rsid w:val="7466395C"/>
    <w:rsid w:val="74F117E3"/>
    <w:rsid w:val="75D27A87"/>
    <w:rsid w:val="76481D09"/>
    <w:rsid w:val="76F43665"/>
    <w:rsid w:val="770737D2"/>
    <w:rsid w:val="7A1B6C1E"/>
    <w:rsid w:val="7A351B2A"/>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8977</Words>
  <Characters>9455</Characters>
  <Lines>102</Lines>
  <Paragraphs>28</Paragraphs>
  <TotalTime>6</TotalTime>
  <ScaleCrop>false</ScaleCrop>
  <LinksUpToDate>false</LinksUpToDate>
  <CharactersWithSpaces>11053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TF</cp:lastModifiedBy>
  <dcterms:modified xsi:type="dcterms:W3CDTF">2022-12-30T04:00:58Z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F43260EA7D044F58AE47754BF9C4C356</vt:lpwstr>
  </property>
</Properties>
</file>