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4"/>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牙科儿童综合治疗椅、口腔科头戴式放大镜及头灯、口腔数字观察仪</w:t>
      </w:r>
      <w:r>
        <w:rPr>
          <w:rFonts w:hint="eastAsia" w:ascii="Times New Roman" w:hAnsi="Times New Roman"/>
          <w:sz w:val="32"/>
          <w:szCs w:val="32"/>
        </w:rPr>
        <w:t>的采购公告</w:t>
      </w:r>
    </w:p>
    <w:p>
      <w:pPr>
        <w:spacing w:line="440" w:lineRule="exact"/>
        <w:rPr>
          <w:rFonts w:ascii="Times New Roman" w:hAnsi="Times New Roman"/>
          <w:b/>
          <w:bCs/>
          <w:sz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牙科儿童综合治疗椅、口腔科头戴式放大镜及头灯、口腔数字观察仪，</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牙科儿童综合治疗椅、口腔科头戴式放大镜及头灯、口腔数字观察仪</w:t>
      </w:r>
      <w:r>
        <w:rPr>
          <w:rFonts w:ascii="Times New Roman" w:hAnsi="Times New Roman"/>
          <w:bCs/>
          <w:sz w:val="24"/>
          <w:szCs w:val="24"/>
        </w:rPr>
        <w:t>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2"/>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486"/>
        <w:gridCol w:w="1094"/>
        <w:gridCol w:w="840"/>
        <w:gridCol w:w="1469"/>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9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包号</w:t>
            </w:r>
          </w:p>
        </w:tc>
        <w:tc>
          <w:tcPr>
            <w:tcW w:w="14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65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88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9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9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1</w:t>
            </w:r>
          </w:p>
        </w:tc>
        <w:tc>
          <w:tcPr>
            <w:tcW w:w="1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牙科儿童综合治疗椅</w:t>
            </w:r>
          </w:p>
        </w:tc>
        <w:tc>
          <w:tcPr>
            <w:tcW w:w="65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88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5.0</w:t>
            </w:r>
          </w:p>
        </w:tc>
        <w:tc>
          <w:tcPr>
            <w:tcW w:w="956"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9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2</w:t>
            </w:r>
          </w:p>
        </w:tc>
        <w:tc>
          <w:tcPr>
            <w:tcW w:w="1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口腔科头戴式放大镜及头灯</w:t>
            </w:r>
          </w:p>
        </w:tc>
        <w:tc>
          <w:tcPr>
            <w:tcW w:w="65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10</w:t>
            </w:r>
          </w:p>
        </w:tc>
        <w:tc>
          <w:tcPr>
            <w:tcW w:w="88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4.0</w:t>
            </w:r>
          </w:p>
        </w:tc>
        <w:tc>
          <w:tcPr>
            <w:tcW w:w="956" w:type="pct"/>
            <w:tcBorders>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9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3</w:t>
            </w:r>
          </w:p>
        </w:tc>
        <w:tc>
          <w:tcPr>
            <w:tcW w:w="1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口腔数字观察仪</w:t>
            </w:r>
          </w:p>
        </w:tc>
        <w:tc>
          <w:tcPr>
            <w:tcW w:w="65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20</w:t>
            </w:r>
          </w:p>
        </w:tc>
        <w:tc>
          <w:tcPr>
            <w:tcW w:w="88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8.0</w:t>
            </w:r>
          </w:p>
        </w:tc>
        <w:tc>
          <w:tcPr>
            <w:tcW w:w="956"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2</w:t>
      </w:r>
      <w:r>
        <w:rPr>
          <w:rFonts w:ascii="Times New Roman" w:hAnsi="Times New Roman"/>
          <w:color w:val="auto"/>
          <w:sz w:val="24"/>
          <w:szCs w:val="24"/>
        </w:rPr>
        <w:t>月</w:t>
      </w:r>
      <w:r>
        <w:rPr>
          <w:rFonts w:hint="eastAsia" w:ascii="Times New Roman" w:hAnsi="Times New Roman"/>
          <w:color w:val="auto"/>
          <w:sz w:val="24"/>
          <w:szCs w:val="24"/>
          <w:lang w:val="en-US" w:eastAsia="zh-CN"/>
        </w:rPr>
        <w:t>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8</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29</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4"/>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牙科儿童综合治疗椅、口腔科头戴式放大镜及头灯、口腔数字观察仪</w:t>
      </w:r>
      <w:r>
        <w:rPr>
          <w:rFonts w:hint="eastAsia" w:ascii="Times New Roman" w:hAnsi="Times New Roman"/>
          <w:color w:val="auto"/>
          <w:sz w:val="32"/>
          <w:szCs w:val="32"/>
          <w:lang w:eastAsia="zh-CN"/>
        </w:rPr>
        <w:t>采购的比选文件</w:t>
      </w:r>
    </w:p>
    <w:p>
      <w:pPr>
        <w:pStyle w:val="4"/>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牙科儿童综合治疗椅、口腔科头戴式放大镜及头灯、口腔数字观察仪，</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牙科儿童综合治疗椅、口腔科头戴式放大镜及头灯、口腔数字观察仪</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2"/>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475"/>
        <w:gridCol w:w="975"/>
        <w:gridCol w:w="1095"/>
        <w:gridCol w:w="1440"/>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val="en-US" w:eastAsia="zh-CN"/>
              </w:rPr>
              <w:t>包号</w:t>
            </w:r>
          </w:p>
        </w:tc>
        <w:tc>
          <w:tcPr>
            <w:tcW w:w="2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b/>
                <w:color w:val="auto"/>
                <w:sz w:val="24"/>
                <w:szCs w:val="24"/>
              </w:rPr>
            </w:pPr>
            <w:r>
              <w:rPr>
                <w:rFonts w:ascii="Times New Roman" w:hAnsi="Times New Roman"/>
                <w:b/>
                <w:color w:val="auto"/>
                <w:sz w:val="24"/>
                <w:szCs w:val="24"/>
              </w:rPr>
              <w:t>数量</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5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b/>
                <w:color w:val="auto"/>
                <w:sz w:val="24"/>
                <w:szCs w:val="24"/>
                <w:lang w:eastAsia="zh-CN"/>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auto"/>
                <w:sz w:val="24"/>
                <w:szCs w:val="24"/>
                <w:lang w:eastAsia="zh-CN"/>
              </w:rPr>
            </w:pPr>
            <w:r>
              <w:rPr>
                <w:rFonts w:hint="eastAsia" w:ascii="Times New Roman" w:hAnsi="Times New Roman"/>
                <w:color w:val="000000"/>
                <w:sz w:val="24"/>
                <w:szCs w:val="24"/>
                <w:lang w:val="en-US" w:eastAsia="zh-CN"/>
              </w:rPr>
              <w:t>1</w:t>
            </w:r>
          </w:p>
        </w:tc>
        <w:tc>
          <w:tcPr>
            <w:tcW w:w="2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000000"/>
                <w:sz w:val="24"/>
                <w:szCs w:val="24"/>
                <w:lang w:eastAsia="zh-CN"/>
              </w:rPr>
              <w:t>牙科儿童综合治疗椅</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s="Times New Roman"/>
                <w:color w:val="auto"/>
                <w:kern w:val="2"/>
                <w:sz w:val="24"/>
                <w:szCs w:val="24"/>
                <w:lang w:val="en-US" w:eastAsia="zh-CN" w:bidi="ar-SA"/>
              </w:rPr>
              <w:t>1</w:t>
            </w:r>
          </w:p>
        </w:tc>
        <w:tc>
          <w:tcPr>
            <w:tcW w:w="144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auto"/>
                <w:sz w:val="24"/>
                <w:szCs w:val="24"/>
                <w:lang w:eastAsia="zh-CN"/>
              </w:rPr>
            </w:pPr>
            <w:r>
              <w:rPr>
                <w:rFonts w:hint="eastAsia" w:ascii="Times New Roman" w:hAnsi="Times New Roman"/>
                <w:color w:val="auto"/>
                <w:sz w:val="24"/>
                <w:szCs w:val="24"/>
                <w:lang w:val="en-US" w:eastAsia="zh-CN"/>
              </w:rPr>
              <w:t>5.0</w:t>
            </w:r>
          </w:p>
        </w:tc>
        <w:tc>
          <w:tcPr>
            <w:tcW w:w="1536"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2</w:t>
            </w:r>
          </w:p>
        </w:tc>
        <w:tc>
          <w:tcPr>
            <w:tcW w:w="2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000000"/>
                <w:sz w:val="24"/>
                <w:szCs w:val="24"/>
                <w:lang w:eastAsia="zh-CN"/>
              </w:rPr>
              <w:t>口腔科头戴式放大镜及头灯</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套</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s="Times New Roman"/>
                <w:color w:val="auto"/>
                <w:kern w:val="2"/>
                <w:sz w:val="24"/>
                <w:szCs w:val="24"/>
                <w:lang w:val="en-US" w:eastAsia="zh-CN" w:bidi="ar-SA"/>
              </w:rPr>
              <w:t>10</w:t>
            </w:r>
          </w:p>
        </w:tc>
        <w:tc>
          <w:tcPr>
            <w:tcW w:w="144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4.0</w:t>
            </w:r>
          </w:p>
        </w:tc>
        <w:tc>
          <w:tcPr>
            <w:tcW w:w="1536"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3</w:t>
            </w:r>
          </w:p>
        </w:tc>
        <w:tc>
          <w:tcPr>
            <w:tcW w:w="2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口腔数字观察仪</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20</w:t>
            </w:r>
          </w:p>
        </w:tc>
        <w:tc>
          <w:tcPr>
            <w:tcW w:w="144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8.0</w:t>
            </w:r>
          </w:p>
        </w:tc>
        <w:tc>
          <w:tcPr>
            <w:tcW w:w="1536"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w:t>
      </w:r>
      <w:r>
        <w:rPr>
          <w:rFonts w:ascii="Times New Roman" w:hAnsi="Times New Roman"/>
          <w:sz w:val="24"/>
          <w:szCs w:val="24"/>
        </w:rPr>
        <w:t>月</w:t>
      </w:r>
      <w:r>
        <w:rPr>
          <w:rFonts w:hint="eastAsia" w:ascii="Times New Roman" w:hAnsi="Times New Roman"/>
          <w:sz w:val="24"/>
          <w:szCs w:val="24"/>
          <w:lang w:val="en-US" w:eastAsia="zh-CN"/>
        </w:rPr>
        <w:t>30</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2</w:t>
      </w:r>
      <w:r>
        <w:rPr>
          <w:rFonts w:hint="eastAsia" w:ascii="Times New Roman" w:hAnsi="Times New Roman"/>
          <w:sz w:val="24"/>
          <w:szCs w:val="24"/>
        </w:rPr>
        <w:t>月</w:t>
      </w:r>
      <w:r>
        <w:rPr>
          <w:rFonts w:hint="eastAsia" w:ascii="Times New Roman" w:hAnsi="Times New Roman"/>
          <w:sz w:val="24"/>
          <w:szCs w:val="24"/>
          <w:lang w:val="en-US" w:eastAsia="zh-CN"/>
        </w:rPr>
        <w:t>1</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2</w:t>
      </w:r>
      <w:r>
        <w:rPr>
          <w:rFonts w:ascii="Times New Roman" w:hAnsi="Times New Roman"/>
          <w:sz w:val="24"/>
          <w:szCs w:val="24"/>
        </w:rPr>
        <w:t>月</w:t>
      </w:r>
      <w:r>
        <w:rPr>
          <w:rFonts w:hint="eastAsia" w:ascii="Times New Roman" w:hAnsi="Times New Roman"/>
          <w:sz w:val="24"/>
          <w:szCs w:val="24"/>
          <w:lang w:val="en-US" w:eastAsia="zh-CN"/>
        </w:rPr>
        <w:t>6</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2</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8</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5"/>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5"/>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5"/>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418004672"/>
      <w:bookmarkStart w:id="3" w:name="_Toc520455380"/>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numPr>
          <w:ilvl w:val="0"/>
          <w:numId w:val="1"/>
        </w:numPr>
        <w:kinsoku/>
        <w:wordWrap/>
        <w:overflowPunct/>
        <w:topLinePunct w:val="0"/>
        <w:autoSpaceDE/>
        <w:autoSpaceDN/>
        <w:bidi w:val="0"/>
        <w:adjustRightInd/>
        <w:snapToGrid/>
        <w:spacing w:line="420" w:lineRule="exact"/>
        <w:jc w:val="center"/>
        <w:rPr>
          <w:rFonts w:ascii="Times New Roman" w:hAnsi="Times New Roman"/>
          <w:b/>
          <w:sz w:val="32"/>
          <w:szCs w:val="32"/>
        </w:rPr>
      </w:pPr>
      <w:r>
        <w:rPr>
          <w:rFonts w:ascii="Times New Roman" w:hAnsi="Times New Roman"/>
          <w:b/>
          <w:sz w:val="32"/>
          <w:szCs w:val="32"/>
        </w:rPr>
        <w:t xml:space="preserve"> 比选项目技术、服务、商务要求</w:t>
      </w:r>
      <w:bookmarkEnd w:id="4"/>
    </w:p>
    <w:p>
      <w:pPr>
        <w:pStyle w:val="2"/>
        <w:numPr>
          <w:ilvl w:val="0"/>
          <w:numId w:val="0"/>
        </w:numPr>
      </w:pP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keepNext w:val="0"/>
        <w:keepLines w:val="0"/>
        <w:pageBreakBefore w:val="0"/>
        <w:widowControl w:val="0"/>
        <w:kinsoku/>
        <w:wordWrap/>
        <w:overflowPunct/>
        <w:topLinePunct w:val="0"/>
        <w:autoSpaceDE/>
        <w:autoSpaceDN/>
        <w:bidi w:val="0"/>
        <w:adjustRightInd/>
        <w:snapToGrid/>
        <w:spacing w:line="400" w:lineRule="exact"/>
        <w:jc w:val="both"/>
        <w:rPr>
          <w:rFonts w:hint="eastAsia" w:eastAsia="宋体" w:cs="Times New Roman" w:asciiTheme="minorEastAsia" w:hAnsiTheme="minorEastAsia"/>
          <w:b/>
          <w:kern w:val="2"/>
          <w:sz w:val="28"/>
          <w:szCs w:val="28"/>
          <w:lang w:val="en-US" w:eastAsia="zh-CN" w:bidi="ar-SA"/>
        </w:rPr>
      </w:pPr>
      <w:r>
        <w:rPr>
          <w:rFonts w:hint="eastAsia" w:eastAsia="宋体" w:cs="Times New Roman" w:asciiTheme="minorEastAsia" w:hAnsiTheme="minorEastAsia"/>
          <w:b/>
          <w:kern w:val="2"/>
          <w:sz w:val="28"/>
          <w:szCs w:val="28"/>
          <w:lang w:val="en-US" w:eastAsia="zh-CN" w:bidi="ar-SA"/>
        </w:rPr>
        <w:t>01包 儿童综合治疗椅</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1、口腔灯：三轴旋转的感应LED灯，无极调光，黄白光自由切换</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2、管道：全部水、气管为1/8、1/4/、3/8的耐水解、耐酸碱腐蚀进口PU管道</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 xml:space="preserve">▲3、病人椅：针对4-12岁儿童设计，电动伸缩靠背，满足0.9米-1.65米不同身高儿童治疗，骨架及底座为金属材质，座椅升降范围 最高：730mm；最低：350mm </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▲4、靠背：靠背为一体成型冷轧钢板+静电喷涂的生产工艺，靠背中心与边缘落差需≥7cm ，电动伸缩靠背，两段式伸缩，上半段运动调节长度，下半段固定不动</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5、弯板：为精密铝合金铸造</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6、靠背PU</w:t>
      </w:r>
      <w:r>
        <w:rPr>
          <w:rFonts w:hint="eastAsia"/>
          <w:sz w:val="24"/>
          <w:szCs w:val="24"/>
        </w:rPr>
        <w:tab/>
      </w:r>
      <w:r>
        <w:rPr>
          <w:rFonts w:hint="eastAsia"/>
          <w:sz w:val="24"/>
          <w:szCs w:val="24"/>
        </w:rPr>
        <w:t>： PU背板为ABS工程塑料的材质。PU材质为超级纤维皮质。免工具挂扣式安装方式。</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7、助手位控制面板功能：配置十功能助手控制面板，可控制水杯加水, ，漱口水加热，痰盂冲水、口腔灯关闭，复位，吐痰位，椅位升降和靠背仰俯等功能</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8、强弱吸手柄：手柄为自制手柄，可以控制吸力大小。</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9、治疗台配置：长度为440mm，宽度为350mm的小推车式工具盘，≥20个功能按键面板，配置器械盘硅胶软垫。工具盘拉手封闭设计，防止勾衣，两高一低手机控制系统是独立三个水气控制系统，互不干扰，其中一条线路故障，不会影响其他手机使用。</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10、治疗台控制面板功能：具备灯椅联动，供水冲痰联动；开机自检功能；安全开关，防压脚；R键，带一键复位和一键治疗位功能；≥10个记忆椅位功能。</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11、消毒：具有一键消毒功能，需包含管道冲洗、消毒液注入、静置、再次冲洗等步骤，可对三用枪、手机管、漱口水管道进行消毒，并全自动进行，无需人手操作。消毒遗漏会自动报警，具有断电应急机制，通电后自动恢复消毒程序。</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12、冲洗：医生器械台有手机管道冲洗键，方便每次治疗后对所有手机管进行冲洗。</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13、挂架：痰盂配有消毒挂架，并具有2个三用枪插孔和4个手机管插孔。</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▲14、显示屏：配置彩色液晶显示屏，可实时显示牙椅消毒状况、器械工作状态、牙椅故障情况。</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▲15、智能：牙椅主控面板≥20个功能按键，可精确控制并显示洁牙机频率和电动马达转速。</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16、记忆：2个记忆位，另外还具有一键复位和一键漱口位记忆功能。</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17、助手位配置：强弱吸各1支、品牌三用枪1支，并且搁物盘配有可高温消毒的硅胶软垫，并有10键的副控面板。</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18、观片灯：内置式低压观片灯</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19、医生椅：六项调节：椅子升降，靠背升降，椅面可以水平调节角度。脚轮架采用精密铝合金铸造件，结实耐用不易断裂。座椅升降范围：450mm-600mm.</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20、护士椅：配备金属搁脚架以及扶手的护士座椅</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21、手机防回吸系统：有效防止通过手机回吸引起的手机管道内部感染</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22、过滤器：在痰盂下方，侧箱外表面，旋扣式拆装设计，方便维护清洁。</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23、脚踏开关椅位控制:可控制椅位升降及靠背仰，圆形脚踏</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24、箱体:可90度旋转的箱体，水气电独立布局，方便维修和四手操作，</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25、侧箱连接方式:箱体连接方式必须为坐垫中心正下方连接，避免箱体侧边连接造成侧箱压力过大而不稳固。</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26、治疗台升降:小推车式治疗台可以调节高度</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27、手术灯升降:手术灯随椅位同时升降</w:t>
      </w:r>
    </w:p>
    <w:p>
      <w:pPr>
        <w:keepNext w:val="0"/>
        <w:keepLines w:val="0"/>
        <w:pageBreakBefore w:val="0"/>
        <w:widowControl w:val="0"/>
        <w:kinsoku/>
        <w:wordWrap/>
        <w:overflowPunct/>
        <w:topLinePunct w:val="0"/>
        <w:autoSpaceDE/>
        <w:autoSpaceDN/>
        <w:bidi w:val="0"/>
        <w:adjustRightInd/>
        <w:snapToGrid/>
        <w:spacing w:line="400" w:lineRule="exact"/>
        <w:rPr>
          <w:sz w:val="24"/>
          <w:szCs w:val="24"/>
        </w:rPr>
      </w:pPr>
      <w:r>
        <w:rPr>
          <w:rFonts w:hint="eastAsia"/>
          <w:sz w:val="24"/>
          <w:szCs w:val="24"/>
        </w:rPr>
        <w:t>28、痰盂:陶瓷一体式痰盂</w:t>
      </w:r>
    </w:p>
    <w:p>
      <w:pPr>
        <w:keepNext w:val="0"/>
        <w:keepLines w:val="0"/>
        <w:pageBreakBefore w:val="0"/>
        <w:widowControl w:val="0"/>
        <w:kinsoku/>
        <w:wordWrap/>
        <w:overflowPunct/>
        <w:topLinePunct w:val="0"/>
        <w:autoSpaceDE/>
        <w:autoSpaceDN/>
        <w:bidi w:val="0"/>
        <w:adjustRightInd/>
        <w:snapToGrid/>
        <w:spacing w:line="400" w:lineRule="exact"/>
        <w:rPr>
          <w:rFonts w:hint="eastAsia" w:eastAsia="宋体"/>
          <w:sz w:val="24"/>
          <w:szCs w:val="24"/>
          <w:lang w:eastAsia="zh-CN"/>
        </w:rPr>
      </w:pPr>
      <w:r>
        <w:rPr>
          <w:rFonts w:hint="eastAsia"/>
          <w:sz w:val="24"/>
          <w:szCs w:val="24"/>
        </w:rPr>
        <w:t>29、地箱:所有保险丝变压器连接线全部封闭在电源盒内的地箱</w:t>
      </w:r>
      <w:r>
        <w:rPr>
          <w:rFonts w:hint="eastAsia"/>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400" w:lineRule="exact"/>
        <w:rPr>
          <w:rFonts w:hint="eastAsia" w:asciiTheme="minorEastAsia" w:hAnsiTheme="minorEastAsia"/>
          <w:b/>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rPr>
          <w:rFonts w:hint="eastAsia" w:asciiTheme="minorEastAsia" w:hAnsiTheme="minorEastAsia"/>
          <w:b/>
          <w:sz w:val="28"/>
          <w:szCs w:val="28"/>
        </w:rPr>
      </w:pPr>
      <w:r>
        <w:rPr>
          <w:rFonts w:hint="eastAsia" w:asciiTheme="minorEastAsia" w:hAnsiTheme="minorEastAsia"/>
          <w:b/>
          <w:sz w:val="28"/>
          <w:szCs w:val="28"/>
          <w:lang w:val="en-US" w:eastAsia="zh-CN"/>
        </w:rPr>
        <w:t xml:space="preserve">02包 </w:t>
      </w:r>
      <w:r>
        <w:rPr>
          <w:rFonts w:hint="eastAsia" w:asciiTheme="minorEastAsia" w:hAnsiTheme="minorEastAsia"/>
          <w:b/>
          <w:sz w:val="28"/>
          <w:szCs w:val="28"/>
        </w:rPr>
        <w:t>口腔科头戴式放大镜及头灯</w:t>
      </w:r>
    </w:p>
    <w:p>
      <w:pPr>
        <w:keepNext w:val="0"/>
        <w:keepLines w:val="0"/>
        <w:pageBreakBefore w:val="0"/>
        <w:widowControl w:val="0"/>
        <w:kinsoku/>
        <w:wordWrap/>
        <w:overflowPunct/>
        <w:topLinePunct w:val="0"/>
        <w:autoSpaceDE/>
        <w:autoSpaceDN/>
        <w:bidi w:val="0"/>
        <w:adjustRightInd/>
        <w:snapToGrid/>
        <w:spacing w:line="400" w:lineRule="exact"/>
        <w:jc w:val="center"/>
        <w:rPr>
          <w:rFonts w:asciiTheme="minorEastAsia" w:hAnsiTheme="minorEastAsia"/>
          <w:b/>
          <w:sz w:val="24"/>
          <w:szCs w:val="28"/>
        </w:rPr>
      </w:pPr>
      <w:r>
        <w:rPr>
          <w:rFonts w:hint="eastAsia" w:asciiTheme="minorEastAsia" w:hAnsiTheme="minorEastAsia"/>
          <w:b/>
          <w:sz w:val="24"/>
          <w:szCs w:val="28"/>
        </w:rPr>
        <w:t>头戴式手术放大镜</w:t>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1、伽利略式光学设计，复消色差；</w:t>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2、</w:t>
      </w:r>
      <w:r>
        <w:rPr>
          <w:rFonts w:cs="宋体" w:asciiTheme="minorEastAsia" w:hAnsiTheme="minorEastAsia"/>
          <w:kern w:val="0"/>
          <w:sz w:val="24"/>
          <w:szCs w:val="28"/>
        </w:rPr>
        <w:t>▲</w:t>
      </w:r>
      <w:r>
        <w:rPr>
          <w:rFonts w:hint="eastAsia" w:asciiTheme="minorEastAsia" w:hAnsiTheme="minorEastAsia"/>
          <w:sz w:val="24"/>
          <w:szCs w:val="28"/>
        </w:rPr>
        <w:t>采用进口光学镜片，非球面物镜设计；</w:t>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3、</w:t>
      </w:r>
      <w:r>
        <w:rPr>
          <w:rFonts w:cs="宋体" w:asciiTheme="minorEastAsia" w:hAnsiTheme="minorEastAsia"/>
          <w:kern w:val="0"/>
          <w:sz w:val="24"/>
          <w:szCs w:val="28"/>
        </w:rPr>
        <w:t>▲</w:t>
      </w:r>
      <w:r>
        <w:rPr>
          <w:rFonts w:hint="eastAsia" w:asciiTheme="minorEastAsia" w:hAnsiTheme="minorEastAsia"/>
          <w:sz w:val="24"/>
          <w:szCs w:val="28"/>
        </w:rPr>
        <w:t>镜片采用光学多层镀膜工艺，光学透过率≥99.5%；</w:t>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4、独立瞳距调节、上下位置调节、耳机铰链调节机构。</w:t>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5、</w:t>
      </w:r>
      <w:r>
        <w:rPr>
          <w:rFonts w:cs="宋体" w:asciiTheme="minorEastAsia" w:hAnsiTheme="minorEastAsia"/>
          <w:kern w:val="0"/>
          <w:sz w:val="24"/>
          <w:szCs w:val="28"/>
        </w:rPr>
        <w:t>▲</w:t>
      </w:r>
      <w:r>
        <w:rPr>
          <w:rFonts w:hint="eastAsia" w:asciiTheme="minorEastAsia" w:hAnsiTheme="minorEastAsia"/>
          <w:sz w:val="24"/>
          <w:szCs w:val="28"/>
        </w:rPr>
        <w:t>头箍预留电池接口，可供以后升级电池组件，无线电池组件可以安装在头箍顶部或者后部。</w:t>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6、光学参数：</w:t>
      </w:r>
    </w:p>
    <w:tbl>
      <w:tblPr>
        <w:tblStyle w:val="23"/>
        <w:tblpPr w:leftFromText="180" w:rightFromText="180" w:vertAnchor="text" w:horzAnchor="page" w:tblpX="1889" w:tblpY="126"/>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3227"/>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tcPr>
          <w:p>
            <w:pPr>
              <w:keepNext w:val="0"/>
              <w:keepLines w:val="0"/>
              <w:pageBreakBefore w:val="0"/>
              <w:widowControl w:val="0"/>
              <w:tabs>
                <w:tab w:val="left" w:pos="3420"/>
              </w:tabs>
              <w:kinsoku/>
              <w:wordWrap/>
              <w:overflowPunct/>
              <w:topLinePunct w:val="0"/>
              <w:autoSpaceDE/>
              <w:autoSpaceDN/>
              <w:bidi w:val="0"/>
              <w:adjustRightInd/>
              <w:snapToGrid/>
              <w:spacing w:line="400" w:lineRule="exact"/>
              <w:jc w:val="center"/>
              <w:rPr>
                <w:rFonts w:cs="Times New Roman" w:asciiTheme="minorEastAsia" w:hAnsiTheme="minorEastAsia" w:eastAsiaTheme="minorEastAsia"/>
                <w:kern w:val="0"/>
                <w:sz w:val="24"/>
                <w:szCs w:val="28"/>
              </w:rPr>
            </w:pPr>
            <w:r>
              <w:rPr>
                <w:rFonts w:hint="eastAsia" w:cs="Times New Roman" w:asciiTheme="minorEastAsia" w:hAnsiTheme="minorEastAsia" w:eastAsiaTheme="minorEastAsia"/>
                <w:kern w:val="0"/>
                <w:sz w:val="24"/>
                <w:szCs w:val="28"/>
              </w:rPr>
              <w:t>放大倍率</w:t>
            </w:r>
          </w:p>
        </w:tc>
        <w:tc>
          <w:tcPr>
            <w:tcW w:w="3227" w:type="dxa"/>
          </w:tcPr>
          <w:p>
            <w:pPr>
              <w:keepNext w:val="0"/>
              <w:keepLines w:val="0"/>
              <w:pageBreakBefore w:val="0"/>
              <w:widowControl w:val="0"/>
              <w:tabs>
                <w:tab w:val="left" w:pos="3420"/>
              </w:tabs>
              <w:kinsoku/>
              <w:wordWrap/>
              <w:overflowPunct/>
              <w:topLinePunct w:val="0"/>
              <w:autoSpaceDE/>
              <w:autoSpaceDN/>
              <w:bidi w:val="0"/>
              <w:adjustRightInd/>
              <w:snapToGrid/>
              <w:spacing w:line="400" w:lineRule="exact"/>
              <w:jc w:val="center"/>
              <w:rPr>
                <w:rFonts w:cs="Times New Roman" w:asciiTheme="minorEastAsia" w:hAnsiTheme="minorEastAsia" w:eastAsiaTheme="minorEastAsia"/>
                <w:kern w:val="0"/>
                <w:sz w:val="24"/>
                <w:szCs w:val="28"/>
              </w:rPr>
            </w:pPr>
            <w:r>
              <w:rPr>
                <w:rFonts w:hint="eastAsia" w:cs="Times New Roman" w:asciiTheme="minorEastAsia" w:hAnsiTheme="minorEastAsia" w:eastAsiaTheme="minorEastAsia"/>
                <w:kern w:val="0"/>
                <w:sz w:val="24"/>
                <w:szCs w:val="28"/>
              </w:rPr>
              <w:t>工作距离(mm)</w:t>
            </w:r>
          </w:p>
        </w:tc>
        <w:tc>
          <w:tcPr>
            <w:tcW w:w="3054" w:type="dxa"/>
          </w:tcPr>
          <w:p>
            <w:pPr>
              <w:keepNext w:val="0"/>
              <w:keepLines w:val="0"/>
              <w:pageBreakBefore w:val="0"/>
              <w:widowControl w:val="0"/>
              <w:tabs>
                <w:tab w:val="left" w:pos="3420"/>
              </w:tabs>
              <w:kinsoku/>
              <w:wordWrap/>
              <w:overflowPunct/>
              <w:topLinePunct w:val="0"/>
              <w:autoSpaceDE/>
              <w:autoSpaceDN/>
              <w:bidi w:val="0"/>
              <w:adjustRightInd/>
              <w:snapToGrid/>
              <w:spacing w:line="400" w:lineRule="exact"/>
              <w:jc w:val="center"/>
              <w:rPr>
                <w:rFonts w:cs="Times New Roman" w:asciiTheme="minorEastAsia" w:hAnsiTheme="minorEastAsia" w:eastAsiaTheme="minorEastAsia"/>
                <w:kern w:val="0"/>
                <w:sz w:val="24"/>
                <w:szCs w:val="28"/>
              </w:rPr>
            </w:pPr>
            <w:r>
              <w:rPr>
                <w:rFonts w:hint="eastAsia" w:cs="Times New Roman" w:asciiTheme="minorEastAsia" w:hAnsiTheme="minorEastAsia" w:eastAsiaTheme="minorEastAsia"/>
                <w:kern w:val="0"/>
                <w:sz w:val="24"/>
                <w:szCs w:val="28"/>
              </w:rPr>
              <w:t>视场直径(mm)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tcPr>
          <w:p>
            <w:pPr>
              <w:keepNext w:val="0"/>
              <w:keepLines w:val="0"/>
              <w:pageBreakBefore w:val="0"/>
              <w:widowControl w:val="0"/>
              <w:kinsoku/>
              <w:wordWrap/>
              <w:overflowPunct/>
              <w:topLinePunct w:val="0"/>
              <w:autoSpaceDE/>
              <w:autoSpaceDN/>
              <w:bidi w:val="0"/>
              <w:adjustRightInd/>
              <w:snapToGrid/>
              <w:spacing w:line="400" w:lineRule="exact"/>
              <w:ind w:right="47"/>
              <w:jc w:val="center"/>
              <w:rPr>
                <w:rFonts w:cs="Times New Roman" w:asciiTheme="minorEastAsia" w:hAnsiTheme="minorEastAsia" w:eastAsiaTheme="minorEastAsia"/>
                <w:color w:val="000000"/>
                <w:kern w:val="0"/>
                <w:sz w:val="24"/>
                <w:szCs w:val="28"/>
              </w:rPr>
            </w:pPr>
            <w:r>
              <w:rPr>
                <w:rFonts w:hint="eastAsia" w:cs="Times New Roman" w:asciiTheme="minorEastAsia" w:hAnsiTheme="minorEastAsia" w:eastAsiaTheme="minorEastAsia"/>
                <w:color w:val="000000"/>
                <w:kern w:val="0"/>
                <w:sz w:val="24"/>
                <w:szCs w:val="28"/>
              </w:rPr>
              <w:t>2.5x</w:t>
            </w:r>
          </w:p>
        </w:tc>
        <w:tc>
          <w:tcPr>
            <w:tcW w:w="3227" w:type="dxa"/>
          </w:tcPr>
          <w:p>
            <w:pPr>
              <w:keepNext w:val="0"/>
              <w:keepLines w:val="0"/>
              <w:pageBreakBefore w:val="0"/>
              <w:widowControl w:val="0"/>
              <w:kinsoku/>
              <w:wordWrap/>
              <w:overflowPunct/>
              <w:topLinePunct w:val="0"/>
              <w:autoSpaceDE/>
              <w:autoSpaceDN/>
              <w:bidi w:val="0"/>
              <w:adjustRightInd/>
              <w:snapToGrid/>
              <w:spacing w:line="400" w:lineRule="exact"/>
              <w:ind w:right="47"/>
              <w:jc w:val="center"/>
              <w:rPr>
                <w:rFonts w:cs="Times New Roman" w:asciiTheme="minorEastAsia" w:hAnsiTheme="minorEastAsia" w:eastAsiaTheme="minorEastAsia"/>
                <w:color w:val="000000"/>
                <w:kern w:val="0"/>
                <w:sz w:val="24"/>
                <w:szCs w:val="28"/>
              </w:rPr>
            </w:pPr>
            <w:r>
              <w:rPr>
                <w:rFonts w:hint="eastAsia" w:cs="Times New Roman" w:asciiTheme="minorEastAsia" w:hAnsiTheme="minorEastAsia" w:eastAsiaTheme="minorEastAsia"/>
                <w:color w:val="000000"/>
                <w:kern w:val="0"/>
                <w:sz w:val="24"/>
                <w:szCs w:val="28"/>
              </w:rPr>
              <w:t>340/420/460/500</w:t>
            </w:r>
          </w:p>
        </w:tc>
        <w:tc>
          <w:tcPr>
            <w:tcW w:w="3054" w:type="dxa"/>
          </w:tcPr>
          <w:p>
            <w:pPr>
              <w:keepNext w:val="0"/>
              <w:keepLines w:val="0"/>
              <w:pageBreakBefore w:val="0"/>
              <w:widowControl w:val="0"/>
              <w:kinsoku/>
              <w:wordWrap/>
              <w:overflowPunct/>
              <w:topLinePunct w:val="0"/>
              <w:autoSpaceDE/>
              <w:autoSpaceDN/>
              <w:bidi w:val="0"/>
              <w:adjustRightInd/>
              <w:snapToGrid/>
              <w:spacing w:line="400" w:lineRule="exact"/>
              <w:ind w:right="47"/>
              <w:jc w:val="center"/>
              <w:rPr>
                <w:rFonts w:cs="Times New Roman" w:asciiTheme="minorEastAsia" w:hAnsiTheme="minorEastAsia" w:eastAsiaTheme="minorEastAsia"/>
                <w:kern w:val="0"/>
                <w:sz w:val="24"/>
                <w:szCs w:val="28"/>
              </w:rPr>
            </w:pPr>
            <w:r>
              <w:rPr>
                <w:rFonts w:hint="eastAsia" w:cs="Times New Roman" w:asciiTheme="minorEastAsia" w:hAnsiTheme="minorEastAsia" w:eastAsiaTheme="minorEastAsia"/>
                <w:kern w:val="0"/>
                <w:sz w:val="24"/>
                <w:szCs w:val="28"/>
              </w:rPr>
              <w:t>80/90/100/110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tcPr>
          <w:p>
            <w:pPr>
              <w:keepNext w:val="0"/>
              <w:keepLines w:val="0"/>
              <w:pageBreakBefore w:val="0"/>
              <w:widowControl w:val="0"/>
              <w:kinsoku/>
              <w:wordWrap/>
              <w:overflowPunct/>
              <w:topLinePunct w:val="0"/>
              <w:autoSpaceDE/>
              <w:autoSpaceDN/>
              <w:bidi w:val="0"/>
              <w:adjustRightInd/>
              <w:snapToGrid/>
              <w:spacing w:line="400" w:lineRule="exact"/>
              <w:ind w:right="47"/>
              <w:jc w:val="center"/>
              <w:rPr>
                <w:rFonts w:cs="Times New Roman" w:asciiTheme="minorEastAsia" w:hAnsiTheme="minorEastAsia" w:eastAsiaTheme="minorEastAsia"/>
                <w:color w:val="000000"/>
                <w:kern w:val="0"/>
                <w:sz w:val="24"/>
                <w:szCs w:val="28"/>
              </w:rPr>
            </w:pPr>
            <w:r>
              <w:rPr>
                <w:rFonts w:hint="eastAsia" w:cs="Times New Roman" w:asciiTheme="minorEastAsia" w:hAnsiTheme="minorEastAsia" w:eastAsiaTheme="minorEastAsia"/>
                <w:color w:val="000000"/>
                <w:kern w:val="0"/>
                <w:sz w:val="24"/>
                <w:szCs w:val="28"/>
              </w:rPr>
              <w:t>3.0x</w:t>
            </w:r>
          </w:p>
        </w:tc>
        <w:tc>
          <w:tcPr>
            <w:tcW w:w="3227" w:type="dxa"/>
          </w:tcPr>
          <w:p>
            <w:pPr>
              <w:keepNext w:val="0"/>
              <w:keepLines w:val="0"/>
              <w:pageBreakBefore w:val="0"/>
              <w:widowControl w:val="0"/>
              <w:kinsoku/>
              <w:wordWrap/>
              <w:overflowPunct/>
              <w:topLinePunct w:val="0"/>
              <w:autoSpaceDE/>
              <w:autoSpaceDN/>
              <w:bidi w:val="0"/>
              <w:adjustRightInd/>
              <w:snapToGrid/>
              <w:spacing w:line="400" w:lineRule="exact"/>
              <w:ind w:right="47"/>
              <w:jc w:val="center"/>
              <w:rPr>
                <w:rFonts w:cs="Times New Roman" w:asciiTheme="minorEastAsia" w:hAnsiTheme="minorEastAsia" w:eastAsiaTheme="minorEastAsia"/>
                <w:color w:val="000000"/>
                <w:kern w:val="0"/>
                <w:sz w:val="24"/>
                <w:szCs w:val="28"/>
              </w:rPr>
            </w:pPr>
            <w:r>
              <w:rPr>
                <w:rFonts w:hint="eastAsia" w:cs="Times New Roman" w:asciiTheme="minorEastAsia" w:hAnsiTheme="minorEastAsia" w:eastAsiaTheme="minorEastAsia"/>
                <w:color w:val="000000"/>
                <w:kern w:val="0"/>
                <w:sz w:val="24"/>
                <w:szCs w:val="28"/>
              </w:rPr>
              <w:t>340/420/460/500</w:t>
            </w:r>
          </w:p>
        </w:tc>
        <w:tc>
          <w:tcPr>
            <w:tcW w:w="3054" w:type="dxa"/>
          </w:tcPr>
          <w:p>
            <w:pPr>
              <w:keepNext w:val="0"/>
              <w:keepLines w:val="0"/>
              <w:pageBreakBefore w:val="0"/>
              <w:widowControl w:val="0"/>
              <w:kinsoku/>
              <w:wordWrap/>
              <w:overflowPunct/>
              <w:topLinePunct w:val="0"/>
              <w:autoSpaceDE/>
              <w:autoSpaceDN/>
              <w:bidi w:val="0"/>
              <w:adjustRightInd/>
              <w:snapToGrid/>
              <w:spacing w:line="400" w:lineRule="exact"/>
              <w:ind w:right="47"/>
              <w:jc w:val="center"/>
              <w:rPr>
                <w:rFonts w:cs="Times New Roman" w:asciiTheme="minorEastAsia" w:hAnsiTheme="minorEastAsia" w:eastAsiaTheme="minorEastAsia"/>
                <w:kern w:val="0"/>
                <w:sz w:val="24"/>
                <w:szCs w:val="28"/>
              </w:rPr>
            </w:pPr>
            <w:r>
              <w:rPr>
                <w:rFonts w:hint="eastAsia" w:cs="Times New Roman" w:asciiTheme="minorEastAsia" w:hAnsiTheme="minorEastAsia" w:eastAsiaTheme="minorEastAsia"/>
                <w:kern w:val="0"/>
                <w:sz w:val="24"/>
                <w:szCs w:val="28"/>
              </w:rPr>
              <w:t>60/65/68/70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tcPr>
          <w:p>
            <w:pPr>
              <w:keepNext w:val="0"/>
              <w:keepLines w:val="0"/>
              <w:pageBreakBefore w:val="0"/>
              <w:widowControl w:val="0"/>
              <w:kinsoku/>
              <w:wordWrap/>
              <w:overflowPunct/>
              <w:topLinePunct w:val="0"/>
              <w:autoSpaceDE/>
              <w:autoSpaceDN/>
              <w:bidi w:val="0"/>
              <w:adjustRightInd/>
              <w:snapToGrid/>
              <w:spacing w:line="400" w:lineRule="exact"/>
              <w:ind w:right="47"/>
              <w:jc w:val="center"/>
              <w:rPr>
                <w:rFonts w:cs="Times New Roman" w:asciiTheme="minorEastAsia" w:hAnsiTheme="minorEastAsia" w:eastAsiaTheme="minorEastAsia"/>
                <w:color w:val="000000"/>
                <w:kern w:val="0"/>
                <w:sz w:val="24"/>
                <w:szCs w:val="28"/>
              </w:rPr>
            </w:pPr>
            <w:r>
              <w:rPr>
                <w:rFonts w:hint="eastAsia" w:cs="Times New Roman" w:asciiTheme="minorEastAsia" w:hAnsiTheme="minorEastAsia" w:eastAsiaTheme="minorEastAsia"/>
                <w:color w:val="000000"/>
                <w:kern w:val="0"/>
                <w:sz w:val="24"/>
                <w:szCs w:val="28"/>
              </w:rPr>
              <w:t>3.5x</w:t>
            </w:r>
          </w:p>
        </w:tc>
        <w:tc>
          <w:tcPr>
            <w:tcW w:w="3227" w:type="dxa"/>
          </w:tcPr>
          <w:p>
            <w:pPr>
              <w:keepNext w:val="0"/>
              <w:keepLines w:val="0"/>
              <w:pageBreakBefore w:val="0"/>
              <w:widowControl w:val="0"/>
              <w:kinsoku/>
              <w:wordWrap/>
              <w:overflowPunct/>
              <w:topLinePunct w:val="0"/>
              <w:autoSpaceDE/>
              <w:autoSpaceDN/>
              <w:bidi w:val="0"/>
              <w:adjustRightInd/>
              <w:snapToGrid/>
              <w:spacing w:line="400" w:lineRule="exact"/>
              <w:ind w:right="47"/>
              <w:jc w:val="center"/>
              <w:rPr>
                <w:rFonts w:cs="Times New Roman" w:asciiTheme="minorEastAsia" w:hAnsiTheme="minorEastAsia" w:eastAsiaTheme="minorEastAsia"/>
                <w:color w:val="000000"/>
                <w:kern w:val="0"/>
                <w:sz w:val="24"/>
                <w:szCs w:val="28"/>
              </w:rPr>
            </w:pPr>
            <w:r>
              <w:rPr>
                <w:rFonts w:hint="eastAsia" w:cs="Times New Roman" w:asciiTheme="minorEastAsia" w:hAnsiTheme="minorEastAsia" w:eastAsiaTheme="minorEastAsia"/>
                <w:color w:val="000000"/>
                <w:kern w:val="0"/>
                <w:sz w:val="24"/>
                <w:szCs w:val="28"/>
              </w:rPr>
              <w:t>340/420/460/500</w:t>
            </w:r>
          </w:p>
        </w:tc>
        <w:tc>
          <w:tcPr>
            <w:tcW w:w="3054" w:type="dxa"/>
          </w:tcPr>
          <w:p>
            <w:pPr>
              <w:keepNext w:val="0"/>
              <w:keepLines w:val="0"/>
              <w:pageBreakBefore w:val="0"/>
              <w:widowControl w:val="0"/>
              <w:kinsoku/>
              <w:wordWrap/>
              <w:overflowPunct/>
              <w:topLinePunct w:val="0"/>
              <w:autoSpaceDE/>
              <w:autoSpaceDN/>
              <w:bidi w:val="0"/>
              <w:adjustRightInd/>
              <w:snapToGrid/>
              <w:spacing w:line="400" w:lineRule="exact"/>
              <w:ind w:right="47"/>
              <w:jc w:val="center"/>
              <w:rPr>
                <w:rFonts w:cs="Times New Roman" w:asciiTheme="minorEastAsia" w:hAnsiTheme="minorEastAsia" w:eastAsiaTheme="minorEastAsia"/>
                <w:kern w:val="0"/>
                <w:sz w:val="24"/>
                <w:szCs w:val="28"/>
              </w:rPr>
            </w:pPr>
            <w:r>
              <w:rPr>
                <w:rFonts w:hint="eastAsia" w:cs="Times New Roman" w:asciiTheme="minorEastAsia" w:hAnsiTheme="minorEastAsia" w:eastAsiaTheme="minorEastAsia"/>
                <w:kern w:val="0"/>
                <w:sz w:val="24"/>
                <w:szCs w:val="28"/>
              </w:rPr>
              <w:t>55/60/63/65</w:t>
            </w:r>
          </w:p>
        </w:tc>
      </w:tr>
    </w:tbl>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Theme="minorEastAsia" w:hAnsiTheme="minorEastAsia"/>
          <w:b/>
          <w:sz w:val="24"/>
          <w:szCs w:val="28"/>
        </w:rPr>
      </w:pPr>
      <w:r>
        <w:rPr>
          <w:rFonts w:hint="eastAsia" w:asciiTheme="minorEastAsia" w:hAnsiTheme="minorEastAsia"/>
          <w:b/>
          <w:sz w:val="24"/>
          <w:szCs w:val="28"/>
        </w:rPr>
        <w:t>头灯</w:t>
      </w:r>
    </w:p>
    <w:p>
      <w:pPr>
        <w:pStyle w:val="5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rPr>
          <w:rFonts w:asciiTheme="minorEastAsia" w:hAnsiTheme="minorEastAsia"/>
          <w:sz w:val="24"/>
          <w:szCs w:val="28"/>
        </w:rPr>
      </w:pPr>
      <w:r>
        <w:rPr>
          <w:rFonts w:cs="宋体" w:asciiTheme="minorEastAsia" w:hAnsiTheme="minorEastAsia"/>
          <w:kern w:val="0"/>
          <w:sz w:val="24"/>
          <w:szCs w:val="28"/>
        </w:rPr>
        <w:t>▲</w:t>
      </w:r>
      <w:r>
        <w:rPr>
          <w:rFonts w:hint="eastAsia" w:asciiTheme="minorEastAsia" w:hAnsiTheme="minorEastAsia"/>
          <w:sz w:val="24"/>
          <w:szCs w:val="28"/>
        </w:rPr>
        <w:t>采用LED光源，色温≥5500K，显色指数CRI&gt;90%,，亮度连续可调。</w:t>
      </w:r>
    </w:p>
    <w:p>
      <w:pPr>
        <w:pStyle w:val="5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rPr>
          <w:rFonts w:asciiTheme="minorEastAsia" w:hAnsiTheme="minorEastAsia"/>
          <w:sz w:val="24"/>
          <w:szCs w:val="28"/>
        </w:rPr>
      </w:pPr>
      <w:r>
        <w:rPr>
          <w:rFonts w:hint="eastAsia" w:asciiTheme="minorEastAsia" w:hAnsiTheme="minorEastAsia"/>
          <w:sz w:val="24"/>
          <w:szCs w:val="28"/>
        </w:rPr>
        <w:t>医生双目视线与照明光线同轴</w:t>
      </w:r>
      <w:r>
        <w:rPr>
          <w:rFonts w:asciiTheme="minorEastAsia" w:hAnsiTheme="minorEastAsia"/>
          <w:sz w:val="24"/>
          <w:szCs w:val="28"/>
        </w:rPr>
        <w:t xml:space="preserve"> </w:t>
      </w:r>
    </w:p>
    <w:p>
      <w:pPr>
        <w:pStyle w:val="5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rPr>
          <w:rFonts w:asciiTheme="minorEastAsia" w:hAnsiTheme="minorEastAsia"/>
          <w:sz w:val="24"/>
          <w:szCs w:val="28"/>
        </w:rPr>
      </w:pPr>
      <w:r>
        <w:rPr>
          <w:rFonts w:hint="eastAsia" w:asciiTheme="minorEastAsia" w:hAnsiTheme="minorEastAsia"/>
          <w:sz w:val="24"/>
          <w:szCs w:val="28"/>
        </w:rPr>
        <w:t>采可充电锂电池供电，交直流两用，设有充电保护功能。电池充满电后可在最大亮度情况下连续工作≥7小时以上。</w:t>
      </w:r>
    </w:p>
    <w:p>
      <w:pPr>
        <w:pStyle w:val="5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rPr>
          <w:rFonts w:asciiTheme="minorEastAsia" w:hAnsiTheme="minorEastAsia"/>
          <w:sz w:val="24"/>
          <w:szCs w:val="28"/>
        </w:rPr>
      </w:pPr>
      <w:r>
        <w:rPr>
          <w:rFonts w:hint="eastAsia" w:asciiTheme="minorEastAsia" w:hAnsiTheme="minorEastAsia"/>
          <w:sz w:val="24"/>
          <w:szCs w:val="28"/>
        </w:rPr>
        <w:t>电池耗尽后充电时间≤3.5小时</w:t>
      </w:r>
    </w:p>
    <w:p>
      <w:pPr>
        <w:pStyle w:val="5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rPr>
          <w:rFonts w:asciiTheme="minorEastAsia" w:hAnsiTheme="minorEastAsia"/>
          <w:sz w:val="24"/>
          <w:szCs w:val="28"/>
        </w:rPr>
      </w:pPr>
      <w:r>
        <w:rPr>
          <w:rFonts w:hint="eastAsia" w:asciiTheme="minorEastAsia" w:hAnsiTheme="minorEastAsia"/>
          <w:sz w:val="24"/>
          <w:szCs w:val="28"/>
        </w:rPr>
        <w:t>LED光源寿命≥2万小时；</w:t>
      </w:r>
    </w:p>
    <w:p>
      <w:pPr>
        <w:pStyle w:val="5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rPr>
          <w:rFonts w:asciiTheme="minorEastAsia" w:hAnsiTheme="minorEastAsia"/>
          <w:sz w:val="24"/>
          <w:szCs w:val="28"/>
        </w:rPr>
      </w:pPr>
      <w:r>
        <w:rPr>
          <w:rFonts w:hint="eastAsia" w:asciiTheme="minorEastAsia" w:hAnsiTheme="minorEastAsia"/>
          <w:sz w:val="24"/>
          <w:szCs w:val="28"/>
        </w:rPr>
        <w:t>照明器角度调整：垂直面内±45°可调</w:t>
      </w:r>
    </w:p>
    <w:p>
      <w:pPr>
        <w:pStyle w:val="5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rPr>
          <w:rFonts w:asciiTheme="minorEastAsia" w:hAnsiTheme="minorEastAsia"/>
          <w:sz w:val="24"/>
          <w:szCs w:val="28"/>
        </w:rPr>
      </w:pPr>
      <w:r>
        <w:rPr>
          <w:rFonts w:hint="eastAsia" w:asciiTheme="minorEastAsia" w:hAnsiTheme="minorEastAsia"/>
          <w:sz w:val="24"/>
          <w:szCs w:val="28"/>
        </w:rPr>
        <w:t>200mm工作距离处物面照度≥35000Lx</w:t>
      </w:r>
    </w:p>
    <w:p>
      <w:pPr>
        <w:pStyle w:val="5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rPr>
          <w:rFonts w:asciiTheme="minorEastAsia" w:hAnsiTheme="minorEastAsia"/>
          <w:sz w:val="24"/>
          <w:szCs w:val="28"/>
        </w:rPr>
      </w:pPr>
      <w:r>
        <w:rPr>
          <w:rFonts w:hint="eastAsia" w:asciiTheme="minorEastAsia" w:hAnsiTheme="minorEastAsia"/>
          <w:sz w:val="24"/>
          <w:szCs w:val="28"/>
        </w:rPr>
        <w:t>重量≤21克。</w:t>
      </w:r>
    </w:p>
    <w:p>
      <w:pPr>
        <w:pStyle w:val="53"/>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rPr>
          <w:rFonts w:asciiTheme="minorEastAsia" w:hAnsiTheme="minorEastAsia"/>
          <w:sz w:val="24"/>
          <w:szCs w:val="28"/>
        </w:rPr>
      </w:pPr>
      <w:r>
        <w:rPr>
          <w:rFonts w:cs="宋体" w:asciiTheme="minorEastAsia" w:hAnsiTheme="minorEastAsia"/>
          <w:kern w:val="0"/>
          <w:sz w:val="24"/>
          <w:szCs w:val="28"/>
        </w:rPr>
        <w:t>▲</w:t>
      </w:r>
      <w:r>
        <w:rPr>
          <w:rFonts w:hint="eastAsia" w:asciiTheme="minorEastAsia" w:hAnsiTheme="minorEastAsia"/>
          <w:sz w:val="24"/>
          <w:szCs w:val="28"/>
        </w:rPr>
        <w:t>标配黄色滤片，减少蓝光，在牙科手术中避免光固化。</w:t>
      </w:r>
    </w:p>
    <w:p>
      <w:pPr>
        <w:keepNext w:val="0"/>
        <w:keepLines w:val="0"/>
        <w:pageBreakBefore w:val="0"/>
        <w:widowControl w:val="0"/>
        <w:kinsoku/>
        <w:wordWrap/>
        <w:overflowPunct/>
        <w:topLinePunct w:val="0"/>
        <w:autoSpaceDE/>
        <w:autoSpaceDN/>
        <w:bidi w:val="0"/>
        <w:adjustRightInd/>
        <w:snapToGrid/>
        <w:spacing w:line="400" w:lineRule="exact"/>
        <w:jc w:val="both"/>
        <w:rPr>
          <w:rFonts w:hint="eastAsia"/>
          <w:b/>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rPr>
          <w:b/>
          <w:sz w:val="28"/>
        </w:rPr>
      </w:pPr>
      <w:r>
        <w:rPr>
          <w:rFonts w:hint="eastAsia"/>
          <w:b/>
          <w:sz w:val="28"/>
          <w:lang w:val="en-US" w:eastAsia="zh-CN"/>
        </w:rPr>
        <w:t xml:space="preserve">03包 </w:t>
      </w:r>
      <w:r>
        <w:rPr>
          <w:rFonts w:hint="eastAsia"/>
          <w:b/>
          <w:sz w:val="28"/>
        </w:rPr>
        <w:t>口腔数字观察仪</w:t>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1、内置专业图像采集软件</w:t>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2、多点触摸操作，与专用拍照软件配合使用对图片进行放大、对比、病灶标注</w:t>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3、内置医患沟通资料与口腔收费电子表</w:t>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4、通过无线WIFI或有线与全景机、牙片机等连接</w:t>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5、兼容多款电子病历（轻松牙医、牙医管家、牙博士等 ）</w:t>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▲6、处理器：Intel 4处理器</w:t>
      </w:r>
      <w:r>
        <w:rPr>
          <w:rFonts w:hint="eastAsia" w:asciiTheme="minorEastAsia" w:hAnsiTheme="minorEastAsia"/>
          <w:sz w:val="24"/>
          <w:szCs w:val="28"/>
        </w:rPr>
        <w:tab/>
      </w:r>
      <w:r>
        <w:rPr>
          <w:rFonts w:hint="eastAsia" w:asciiTheme="minorEastAsia" w:hAnsiTheme="minorEastAsia"/>
          <w:sz w:val="24"/>
          <w:szCs w:val="28"/>
        </w:rPr>
        <w:t>主频：1.3GHz-1.8GHz自动变频</w:t>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7、核心数/线程：四核</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8、制程工艺：22nm</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9、内存：≥2GB DDR3 1600</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10、硬盘容量：≥32G（最大可扩160G）</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▲11、内窥镜探头：厚度≤7mm，自带麦克风</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▲12、内窥镜镜头 ：景深范围3mm-50mm</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13、有线网卡：集成网口</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14、无线网卡：内置无线WIFI</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15、音频系统：内置音效芯片</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16、扬声器：内置扬声器</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 xml:space="preserve">17、数据接口：4×USB2.0 </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18、蓝牙：3 .0</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19、视频接口：可定制HDMI或VGA</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20、读卡器：可外置</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asciiTheme="minorEastAsia" w:hAnsiTheme="minorEastAsia"/>
          <w:sz w:val="24"/>
          <w:szCs w:val="28"/>
        </w:rPr>
      </w:pPr>
      <w:r>
        <w:rPr>
          <w:rFonts w:hint="eastAsia" w:asciiTheme="minorEastAsia" w:hAnsiTheme="minorEastAsia"/>
          <w:sz w:val="24"/>
          <w:szCs w:val="28"/>
        </w:rPr>
        <w:t>21、输入设备：触控输入（可外接键盘鼠标）</w:t>
      </w:r>
      <w:r>
        <w:rPr>
          <w:rFonts w:hint="eastAsia" w:asciiTheme="minorEastAsia" w:hAnsiTheme="minorEastAsia"/>
          <w:sz w:val="24"/>
          <w:szCs w:val="28"/>
        </w:rPr>
        <w:tab/>
      </w:r>
    </w:p>
    <w:p>
      <w:pPr>
        <w:keepNext w:val="0"/>
        <w:keepLines w:val="0"/>
        <w:pageBreakBefore w:val="0"/>
        <w:widowControl w:val="0"/>
        <w:kinsoku/>
        <w:wordWrap/>
        <w:overflowPunct/>
        <w:topLinePunct w:val="0"/>
        <w:autoSpaceDE/>
        <w:autoSpaceDN/>
        <w:bidi w:val="0"/>
        <w:adjustRightInd/>
        <w:snapToGrid/>
        <w:spacing w:line="400" w:lineRule="exact"/>
        <w:rPr>
          <w:rFonts w:hint="eastAsia" w:asciiTheme="minorEastAsia" w:hAnsiTheme="minorEastAsia"/>
          <w:sz w:val="24"/>
          <w:szCs w:val="28"/>
        </w:rPr>
      </w:pPr>
      <w:r>
        <w:rPr>
          <w:rFonts w:hint="eastAsia" w:asciiTheme="minorEastAsia" w:hAnsiTheme="minorEastAsia"/>
          <w:sz w:val="24"/>
          <w:szCs w:val="28"/>
        </w:rPr>
        <w:t>22、显示屏尺寸：≥17英寸</w:t>
      </w:r>
      <w:r>
        <w:rPr>
          <w:rFonts w:hint="eastAsia" w:asciiTheme="minorEastAsia" w:hAnsiTheme="minorEastAsia"/>
          <w:sz w:val="24"/>
          <w:szCs w:val="28"/>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textAlignment w:val="baseline"/>
        <w:rPr>
          <w:rFonts w:hint="eastAsia" w:asciiTheme="minorEastAsia" w:hAnsiTheme="minorEastAsia"/>
          <w:sz w:val="24"/>
          <w:szCs w:val="28"/>
          <w:lang w:eastAsia="zh-CN"/>
        </w:rPr>
      </w:pPr>
      <w:r>
        <w:rPr>
          <w:rFonts w:hint="eastAsia" w:asciiTheme="minorEastAsia" w:hAnsiTheme="minorEastAsia"/>
          <w:sz w:val="24"/>
          <w:szCs w:val="28"/>
        </w:rPr>
        <w:t>23、配备显示器支架，适用医院现有牙科综合治疗椅</w:t>
      </w:r>
      <w:r>
        <w:rPr>
          <w:rFonts w:hint="eastAsia" w:asciiTheme="minorEastAsia" w:hAnsiTheme="minorEastAsia"/>
          <w:sz w:val="24"/>
          <w:szCs w:val="28"/>
          <w:lang w:eastAsia="zh-CN"/>
        </w:rPr>
        <w:t>。</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 质保期：01包≥3年，02包≥2年，03包≥2年。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000000" w:themeColor="text1"/>
          <w:kern w:val="0"/>
          <w:sz w:val="32"/>
          <w:szCs w:val="32"/>
          <w14:textFill>
            <w14:solidFill>
              <w14:schemeClr w14:val="tx1"/>
            </w14:solidFill>
          </w14:textFill>
        </w:rPr>
      </w:pP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eastAsia="zh-CN"/>
        </w:rPr>
        <w:t>“</w:t>
      </w:r>
      <w:r>
        <w:rPr>
          <w:rFonts w:hint="eastAsia" w:ascii="宋体" w:hAnsi="宋体" w:cs="宋体"/>
          <w:color w:val="auto"/>
          <w:sz w:val="28"/>
          <w:szCs w:val="28"/>
          <w:lang w:eastAsia="zh-CN"/>
        </w:rPr>
        <w:t>★</w:t>
      </w:r>
      <w:r>
        <w:rPr>
          <w:rFonts w:hint="eastAsia" w:asciiTheme="minorEastAsia" w:hAnsiTheme="minorEastAsia" w:eastAsiaTheme="minorEastAsia"/>
          <w:b/>
          <w:color w:val="auto"/>
          <w:kern w:val="0"/>
          <w:sz w:val="24"/>
          <w:lang w:eastAsia="zh-CN"/>
        </w:rPr>
        <w:t>”条款和</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bookmarkStart w:id="9" w:name="_Toc520455385"/>
    </w:p>
    <w:p>
      <w:pPr>
        <w:rPr>
          <w:rFonts w:hint="eastAsia" w:ascii="Times New Roman" w:hAnsi="Times New Roman"/>
          <w:b/>
          <w:bCs/>
          <w:color w:val="auto"/>
          <w:kern w:val="0"/>
          <w:sz w:val="32"/>
          <w:szCs w:val="32"/>
        </w:rPr>
      </w:pPr>
      <w:r>
        <w:rPr>
          <w:rFonts w:hint="eastAsia" w:ascii="Times New Roman" w:hAnsi="Times New Roman"/>
          <w:b/>
          <w:bCs/>
          <w:color w:val="auto"/>
          <w:kern w:val="0"/>
          <w:sz w:val="32"/>
          <w:szCs w:val="32"/>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rFonts w:hint="eastAsia" w:ascii="Times New Roman" w:hAnsi="Times New Roman"/>
          <w:b/>
          <w:bCs/>
          <w:color w:val="auto"/>
          <w:kern w:val="0"/>
          <w:sz w:val="24"/>
          <w:szCs w:val="20"/>
        </w:rPr>
      </w:pPr>
      <w:r>
        <w:rPr>
          <w:rFonts w:ascii="Times New Roman" w:hAnsi="Times New Roman"/>
          <w:b/>
          <w:bCs/>
          <w:color w:val="auto"/>
          <w:kern w:val="0"/>
          <w:sz w:val="24"/>
          <w:szCs w:val="20"/>
        </w:rPr>
        <w:t>综合评分明细表</w:t>
      </w:r>
      <w:bookmarkEnd w:id="9"/>
    </w:p>
    <w:p>
      <w:pPr>
        <w:pStyle w:val="2"/>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第01包</w:t>
      </w:r>
    </w:p>
    <w:tbl>
      <w:tblPr>
        <w:tblStyle w:val="22"/>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59%</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59</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59</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7</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1</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5</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p>
      <w:pPr>
        <w:pStyle w:val="2"/>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第02包</w:t>
      </w:r>
    </w:p>
    <w:tbl>
      <w:tblPr>
        <w:tblStyle w:val="22"/>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rPr>
              <w:t>6</w:t>
            </w:r>
            <w:r>
              <w:rPr>
                <w:rFonts w:hint="eastAsia" w:ascii="宋体" w:hAnsi="宋体"/>
                <w:bCs/>
                <w:color w:val="auto"/>
                <w:sz w:val="24"/>
                <w:szCs w:val="24"/>
                <w:lang w:val="en-US" w:eastAsia="zh-CN"/>
              </w:rPr>
              <w:t>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w:t>
            </w:r>
            <w:r>
              <w:rPr>
                <w:rFonts w:hint="eastAsia" w:ascii="宋体" w:hAnsi="宋体"/>
                <w:color w:val="auto"/>
                <w:sz w:val="24"/>
                <w:szCs w:val="24"/>
                <w:lang w:val="en-US" w:eastAsia="zh-CN"/>
              </w:rPr>
              <w:t>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8</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2</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pStyle w:val="2"/>
        <w:rPr>
          <w:color w:val="auto"/>
        </w:rPr>
      </w:pPr>
    </w:p>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p>
      <w:pPr>
        <w:pStyle w:val="3"/>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第03包</w:t>
      </w:r>
    </w:p>
    <w:tbl>
      <w:tblPr>
        <w:tblStyle w:val="22"/>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rPr>
              <w:t>6</w:t>
            </w:r>
            <w:r>
              <w:rPr>
                <w:rFonts w:hint="eastAsia" w:ascii="宋体" w:hAnsi="宋体"/>
                <w:bCs/>
                <w:color w:val="auto"/>
                <w:sz w:val="24"/>
                <w:szCs w:val="24"/>
                <w:lang w:val="en-US" w:eastAsia="zh-CN"/>
              </w:rPr>
              <w:t>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w:t>
            </w:r>
            <w:r>
              <w:rPr>
                <w:rFonts w:hint="eastAsia" w:ascii="宋体" w:hAnsi="宋体"/>
                <w:color w:val="auto"/>
                <w:sz w:val="24"/>
                <w:szCs w:val="24"/>
                <w:lang w:val="en-US" w:eastAsia="zh-CN"/>
              </w:rPr>
              <w:t>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10</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1.5</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rPr>
          <w:rFonts w:hint="eastAsia" w:ascii="Times New Roman" w:hAnsi="Times New Roman"/>
          <w:b/>
          <w:bCs/>
          <w:kern w:val="0"/>
          <w:sz w:val="24"/>
          <w:szCs w:val="20"/>
          <w:lang w:eastAsia="zh-CN"/>
        </w:rPr>
      </w:pPr>
      <w:r>
        <w:rPr>
          <w:rFonts w:hint="eastAsia" w:ascii="Times New Roman" w:hAnsi="Times New Roman"/>
          <w:b/>
          <w:bCs/>
          <w:kern w:val="0"/>
          <w:sz w:val="24"/>
          <w:szCs w:val="20"/>
          <w:lang w:eastAsia="zh-CN"/>
        </w:rPr>
        <w:br w:type="page"/>
      </w:r>
    </w:p>
    <w:p>
      <w:pPr>
        <w:pStyle w:val="2"/>
        <w:rPr>
          <w:rFonts w:hint="eastAsia"/>
          <w:lang w:eastAsia="zh-CN"/>
        </w:rPr>
      </w:pPr>
      <w:bookmarkStart w:id="52" w:name="_GoBack"/>
      <w:bookmarkEnd w:id="52"/>
    </w:p>
    <w:p>
      <w:pPr>
        <w:pStyle w:val="4"/>
        <w:keepNext/>
        <w:keepLines/>
        <w:pageBreakBefore w:val="0"/>
        <w:widowControl w:val="0"/>
        <w:numPr>
          <w:ilvl w:val="0"/>
          <w:numId w:val="3"/>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ascii="Times New Roman" w:hAnsi="Times New Roman"/>
          <w:sz w:val="32"/>
          <w:szCs w:val="32"/>
        </w:rPr>
        <w:t xml:space="preserve"> 响应文件格式</w:t>
      </w:r>
      <w:bookmarkEnd w:id="7"/>
      <w:bookmarkEnd w:id="8"/>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3698132"/>
      <w:bookmarkStart w:id="12" w:name="_Toc34051805"/>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52036327"/>
      <w:bookmarkStart w:id="17" w:name="_Toc33709794"/>
      <w:bookmarkStart w:id="18" w:name="_Toc33698133"/>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40447270"/>
      <w:bookmarkStart w:id="26" w:name="_Toc34051808"/>
      <w:bookmarkStart w:id="27" w:name="_Toc33698135"/>
      <w:bookmarkStart w:id="28" w:name="_Toc52036329"/>
      <w:bookmarkStart w:id="29" w:name="_Toc33709796"/>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820890"/>
      <w:bookmarkStart w:id="31" w:name="_Toc436404120"/>
      <w:bookmarkStart w:id="32" w:name="_Toc436410129"/>
      <w:bookmarkStart w:id="33" w:name="_Toc30756488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415"/>
      <w:bookmarkStart w:id="37" w:name="_Toc503987104"/>
      <w:bookmarkStart w:id="38" w:name="_Toc503986838"/>
      <w:bookmarkStart w:id="39" w:name="_Toc503987293"/>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4051809"/>
      <w:bookmarkStart w:id="43" w:name="_Toc52036330"/>
      <w:bookmarkStart w:id="44" w:name="_Toc33698136"/>
      <w:bookmarkStart w:id="45" w:name="_Toc33709797"/>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52036331"/>
      <w:bookmarkStart w:id="49" w:name="_Toc34051810"/>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9FD79"/>
    <w:multiLevelType w:val="singleLevel"/>
    <w:tmpl w:val="EB09FD79"/>
    <w:lvl w:ilvl="0" w:tentative="0">
      <w:start w:val="2"/>
      <w:numFmt w:val="chineseCounting"/>
      <w:suff w:val="space"/>
      <w:lvlText w:val="第%1章"/>
      <w:lvlJc w:val="left"/>
      <w:rPr>
        <w:rFonts w:hint="eastAsia"/>
      </w:rPr>
    </w:lvl>
  </w:abstractNum>
  <w:abstractNum w:abstractNumId="1">
    <w:nsid w:val="1E36432C"/>
    <w:multiLevelType w:val="singleLevel"/>
    <w:tmpl w:val="1E36432C"/>
    <w:lvl w:ilvl="0" w:tentative="0">
      <w:start w:val="4"/>
      <w:numFmt w:val="chineseCounting"/>
      <w:suff w:val="space"/>
      <w:lvlText w:val="第%1章"/>
      <w:lvlJc w:val="left"/>
      <w:rPr>
        <w:rFonts w:hint="eastAsia"/>
      </w:rPr>
    </w:lvl>
  </w:abstractNum>
  <w:abstractNum w:abstractNumId="2">
    <w:nsid w:val="6EFA3FE1"/>
    <w:multiLevelType w:val="multilevel"/>
    <w:tmpl w:val="6EFA3F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4811B11"/>
    <w:rsid w:val="04E70C2A"/>
    <w:rsid w:val="04EB48D3"/>
    <w:rsid w:val="082E244F"/>
    <w:rsid w:val="08415C90"/>
    <w:rsid w:val="0AFA5A96"/>
    <w:rsid w:val="0B6010B4"/>
    <w:rsid w:val="0CD27FFC"/>
    <w:rsid w:val="0D0F4ED6"/>
    <w:rsid w:val="0D9352C6"/>
    <w:rsid w:val="0DAC4D70"/>
    <w:rsid w:val="0E677033"/>
    <w:rsid w:val="0E7F1957"/>
    <w:rsid w:val="0EA63619"/>
    <w:rsid w:val="0F977FCF"/>
    <w:rsid w:val="0F994434"/>
    <w:rsid w:val="0FA933C0"/>
    <w:rsid w:val="10274A79"/>
    <w:rsid w:val="109160DD"/>
    <w:rsid w:val="112278CE"/>
    <w:rsid w:val="113B16DB"/>
    <w:rsid w:val="12EF558E"/>
    <w:rsid w:val="131B0AE4"/>
    <w:rsid w:val="14E84654"/>
    <w:rsid w:val="151614F8"/>
    <w:rsid w:val="15200185"/>
    <w:rsid w:val="15304B56"/>
    <w:rsid w:val="15EA028F"/>
    <w:rsid w:val="17122347"/>
    <w:rsid w:val="17F6222D"/>
    <w:rsid w:val="18461C09"/>
    <w:rsid w:val="1B266D2D"/>
    <w:rsid w:val="1B4D05AA"/>
    <w:rsid w:val="1BAC4722"/>
    <w:rsid w:val="1C281231"/>
    <w:rsid w:val="1C88336B"/>
    <w:rsid w:val="1CB57848"/>
    <w:rsid w:val="1CBF41C4"/>
    <w:rsid w:val="1DA63635"/>
    <w:rsid w:val="1E0A001A"/>
    <w:rsid w:val="1E5F07E5"/>
    <w:rsid w:val="1E9B5F74"/>
    <w:rsid w:val="1F1D0593"/>
    <w:rsid w:val="1F2324A2"/>
    <w:rsid w:val="1F4802F5"/>
    <w:rsid w:val="1F594866"/>
    <w:rsid w:val="1FAE4192"/>
    <w:rsid w:val="1FDE786A"/>
    <w:rsid w:val="1FE401DF"/>
    <w:rsid w:val="20A2053B"/>
    <w:rsid w:val="20D42641"/>
    <w:rsid w:val="20D54F08"/>
    <w:rsid w:val="20ED7DFF"/>
    <w:rsid w:val="22034BB2"/>
    <w:rsid w:val="22BC4191"/>
    <w:rsid w:val="22CA3482"/>
    <w:rsid w:val="247F6619"/>
    <w:rsid w:val="26463681"/>
    <w:rsid w:val="26705FC7"/>
    <w:rsid w:val="26E659F0"/>
    <w:rsid w:val="271909D4"/>
    <w:rsid w:val="27457A1B"/>
    <w:rsid w:val="28A10C81"/>
    <w:rsid w:val="28E15521"/>
    <w:rsid w:val="29A7364C"/>
    <w:rsid w:val="2A09060E"/>
    <w:rsid w:val="2A092A55"/>
    <w:rsid w:val="2AAD6003"/>
    <w:rsid w:val="2B970CE2"/>
    <w:rsid w:val="2BD0497A"/>
    <w:rsid w:val="2BF11E95"/>
    <w:rsid w:val="2BFC0981"/>
    <w:rsid w:val="2C1354E0"/>
    <w:rsid w:val="2CCC357C"/>
    <w:rsid w:val="2D7C46D0"/>
    <w:rsid w:val="2F1239C7"/>
    <w:rsid w:val="2F5D26AF"/>
    <w:rsid w:val="2FB70420"/>
    <w:rsid w:val="31B9528D"/>
    <w:rsid w:val="32B819E9"/>
    <w:rsid w:val="32C77752"/>
    <w:rsid w:val="32CD2AF9"/>
    <w:rsid w:val="32DD31FD"/>
    <w:rsid w:val="32E80129"/>
    <w:rsid w:val="33D16649"/>
    <w:rsid w:val="3410163B"/>
    <w:rsid w:val="352C0BF7"/>
    <w:rsid w:val="35AC6B2A"/>
    <w:rsid w:val="35CD57AB"/>
    <w:rsid w:val="35DF103A"/>
    <w:rsid w:val="3609706D"/>
    <w:rsid w:val="36F100CE"/>
    <w:rsid w:val="37164E99"/>
    <w:rsid w:val="382A523F"/>
    <w:rsid w:val="3839273F"/>
    <w:rsid w:val="39202673"/>
    <w:rsid w:val="3A83468A"/>
    <w:rsid w:val="3AFD01EB"/>
    <w:rsid w:val="3B8A7AB4"/>
    <w:rsid w:val="3BB07701"/>
    <w:rsid w:val="3BE1743B"/>
    <w:rsid w:val="3BF758E5"/>
    <w:rsid w:val="3C1D522E"/>
    <w:rsid w:val="3C693B9A"/>
    <w:rsid w:val="3E6946D7"/>
    <w:rsid w:val="3F3026AC"/>
    <w:rsid w:val="3FC714BD"/>
    <w:rsid w:val="3FDC7247"/>
    <w:rsid w:val="40F37FB8"/>
    <w:rsid w:val="421016D5"/>
    <w:rsid w:val="42A96C58"/>
    <w:rsid w:val="444F0625"/>
    <w:rsid w:val="45392515"/>
    <w:rsid w:val="458A40C2"/>
    <w:rsid w:val="458B6AE9"/>
    <w:rsid w:val="45BE1E11"/>
    <w:rsid w:val="45E253AB"/>
    <w:rsid w:val="45EA0429"/>
    <w:rsid w:val="468E4AE3"/>
    <w:rsid w:val="46BF7F1F"/>
    <w:rsid w:val="46D1677D"/>
    <w:rsid w:val="46FB0382"/>
    <w:rsid w:val="472C4F7A"/>
    <w:rsid w:val="47495932"/>
    <w:rsid w:val="478661AE"/>
    <w:rsid w:val="47EB6865"/>
    <w:rsid w:val="49284D7B"/>
    <w:rsid w:val="497C50C6"/>
    <w:rsid w:val="49E05655"/>
    <w:rsid w:val="49EF479F"/>
    <w:rsid w:val="4B0435C5"/>
    <w:rsid w:val="4B903377"/>
    <w:rsid w:val="4BB548C0"/>
    <w:rsid w:val="4BC43E4C"/>
    <w:rsid w:val="4BC55E91"/>
    <w:rsid w:val="4C2C6594"/>
    <w:rsid w:val="4C7D185E"/>
    <w:rsid w:val="4C924A79"/>
    <w:rsid w:val="4E81291C"/>
    <w:rsid w:val="4F4127A9"/>
    <w:rsid w:val="4FAD422B"/>
    <w:rsid w:val="4FC7696F"/>
    <w:rsid w:val="50165E6F"/>
    <w:rsid w:val="50277BC9"/>
    <w:rsid w:val="505521CD"/>
    <w:rsid w:val="50D15CF8"/>
    <w:rsid w:val="51066F16"/>
    <w:rsid w:val="51AE40DC"/>
    <w:rsid w:val="52B14033"/>
    <w:rsid w:val="531C155C"/>
    <w:rsid w:val="53455021"/>
    <w:rsid w:val="5367649F"/>
    <w:rsid w:val="538A508B"/>
    <w:rsid w:val="5422686A"/>
    <w:rsid w:val="54B75204"/>
    <w:rsid w:val="550E0B38"/>
    <w:rsid w:val="55356E1A"/>
    <w:rsid w:val="568E6439"/>
    <w:rsid w:val="56B93C5A"/>
    <w:rsid w:val="572A6162"/>
    <w:rsid w:val="573963A5"/>
    <w:rsid w:val="575256B8"/>
    <w:rsid w:val="578E0FAB"/>
    <w:rsid w:val="57A852D8"/>
    <w:rsid w:val="58360F93"/>
    <w:rsid w:val="58BA1F78"/>
    <w:rsid w:val="599D70BF"/>
    <w:rsid w:val="5A5A5B18"/>
    <w:rsid w:val="5AA9706F"/>
    <w:rsid w:val="5AAD383C"/>
    <w:rsid w:val="5B505E97"/>
    <w:rsid w:val="5DCB4FC2"/>
    <w:rsid w:val="5DD8138D"/>
    <w:rsid w:val="5DEF0CB7"/>
    <w:rsid w:val="5E435D5B"/>
    <w:rsid w:val="5E940365"/>
    <w:rsid w:val="5EBF7E2B"/>
    <w:rsid w:val="5F9B0133"/>
    <w:rsid w:val="60E75FA3"/>
    <w:rsid w:val="611E7ED2"/>
    <w:rsid w:val="617A7CE6"/>
    <w:rsid w:val="61840B64"/>
    <w:rsid w:val="62892A63"/>
    <w:rsid w:val="63414F5F"/>
    <w:rsid w:val="63AE011A"/>
    <w:rsid w:val="64633872"/>
    <w:rsid w:val="64A01811"/>
    <w:rsid w:val="659F01D8"/>
    <w:rsid w:val="66350708"/>
    <w:rsid w:val="6686620A"/>
    <w:rsid w:val="67FC1454"/>
    <w:rsid w:val="68871E97"/>
    <w:rsid w:val="68B977C1"/>
    <w:rsid w:val="692844CB"/>
    <w:rsid w:val="69E4351C"/>
    <w:rsid w:val="6A4F2F1A"/>
    <w:rsid w:val="6ABE0C43"/>
    <w:rsid w:val="6ACA37D9"/>
    <w:rsid w:val="6B2D1F53"/>
    <w:rsid w:val="6B2E2BC2"/>
    <w:rsid w:val="6B8A20A2"/>
    <w:rsid w:val="6B8C2459"/>
    <w:rsid w:val="6BB8153D"/>
    <w:rsid w:val="6BBA58AE"/>
    <w:rsid w:val="6BDF60AB"/>
    <w:rsid w:val="6C010D36"/>
    <w:rsid w:val="6C320399"/>
    <w:rsid w:val="6C495117"/>
    <w:rsid w:val="6C755241"/>
    <w:rsid w:val="6C7C7008"/>
    <w:rsid w:val="6D107750"/>
    <w:rsid w:val="6D50327E"/>
    <w:rsid w:val="6E6D5AB6"/>
    <w:rsid w:val="6F2C102A"/>
    <w:rsid w:val="6F514ADE"/>
    <w:rsid w:val="6F833AC6"/>
    <w:rsid w:val="6FA74BB9"/>
    <w:rsid w:val="6FD902CD"/>
    <w:rsid w:val="7101188A"/>
    <w:rsid w:val="713951B9"/>
    <w:rsid w:val="71593422"/>
    <w:rsid w:val="716342F2"/>
    <w:rsid w:val="722515A8"/>
    <w:rsid w:val="72B059E8"/>
    <w:rsid w:val="72BE0D48"/>
    <w:rsid w:val="732C647B"/>
    <w:rsid w:val="7353202C"/>
    <w:rsid w:val="73F33B70"/>
    <w:rsid w:val="74393492"/>
    <w:rsid w:val="7466395C"/>
    <w:rsid w:val="749B3DA3"/>
    <w:rsid w:val="74F117E3"/>
    <w:rsid w:val="7512436E"/>
    <w:rsid w:val="75D27A87"/>
    <w:rsid w:val="76481D09"/>
    <w:rsid w:val="764A5A81"/>
    <w:rsid w:val="76F43665"/>
    <w:rsid w:val="770737D2"/>
    <w:rsid w:val="79660E24"/>
    <w:rsid w:val="7A1B6C1E"/>
    <w:rsid w:val="7A351B2A"/>
    <w:rsid w:val="7AB7598A"/>
    <w:rsid w:val="7B5B4760"/>
    <w:rsid w:val="7C3F13C0"/>
    <w:rsid w:val="7C754515"/>
    <w:rsid w:val="7D080444"/>
    <w:rsid w:val="7D8D4B15"/>
    <w:rsid w:val="7E0D277C"/>
    <w:rsid w:val="7E580D51"/>
    <w:rsid w:val="7F617B28"/>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1"/>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7">
    <w:name w:val="Normal Indent"/>
    <w:basedOn w:val="1"/>
    <w:qFormat/>
    <w:uiPriority w:val="0"/>
    <w:pPr>
      <w:widowControl/>
      <w:spacing w:line="360" w:lineRule="auto"/>
      <w:ind w:firstLine="420"/>
      <w:jc w:val="left"/>
    </w:pPr>
    <w:rPr>
      <w:rFonts w:ascii="宋体" w:hAnsi="宋体"/>
      <w:kern w:val="0"/>
      <w:szCs w:val="20"/>
    </w:rPr>
  </w:style>
  <w:style w:type="paragraph" w:styleId="8">
    <w:name w:val="annotation text"/>
    <w:basedOn w:val="1"/>
    <w:link w:val="58"/>
    <w:qFormat/>
    <w:uiPriority w:val="0"/>
    <w:pPr>
      <w:jc w:val="left"/>
    </w:pPr>
    <w:rPr>
      <w:rFonts w:ascii="Times New Roman" w:hAnsi="Times New Roman"/>
    </w:rPr>
  </w:style>
  <w:style w:type="paragraph" w:styleId="9">
    <w:name w:val="Body Text Indent"/>
    <w:basedOn w:val="1"/>
    <w:link w:val="52"/>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8"/>
    <w:qFormat/>
    <w:uiPriority w:val="0"/>
    <w:rPr>
      <w:rFonts w:ascii="宋体" w:hAnsi="Courier New" w:cs="Courier New"/>
      <w:szCs w:val="21"/>
    </w:rPr>
  </w:style>
  <w:style w:type="paragraph" w:styleId="12">
    <w:name w:val="Date"/>
    <w:basedOn w:val="1"/>
    <w:next w:val="1"/>
    <w:link w:val="57"/>
    <w:qFormat/>
    <w:uiPriority w:val="0"/>
    <w:pPr>
      <w:ind w:left="100" w:leftChars="2500"/>
    </w:pPr>
    <w:rPr>
      <w:rFonts w:ascii="Times New Roman" w:hAnsi="Times New Roman"/>
    </w:rPr>
  </w:style>
  <w:style w:type="paragraph" w:styleId="13">
    <w:name w:val="Body Text Indent 2"/>
    <w:basedOn w:val="1"/>
    <w:link w:val="56"/>
    <w:qFormat/>
    <w:uiPriority w:val="0"/>
    <w:pPr>
      <w:spacing w:after="120" w:line="480" w:lineRule="auto"/>
      <w:ind w:left="420" w:leftChars="200"/>
    </w:pPr>
  </w:style>
  <w:style w:type="paragraph" w:styleId="14">
    <w:name w:val="Balloon Text"/>
    <w:basedOn w:val="1"/>
    <w:link w:val="67"/>
    <w:qFormat/>
    <w:uiPriority w:val="0"/>
    <w:rPr>
      <w:rFonts w:ascii="Times New Roman" w:hAnsi="Times New Roman"/>
      <w:sz w:val="18"/>
      <w:szCs w:val="18"/>
    </w:rPr>
  </w:style>
  <w:style w:type="paragraph" w:styleId="15">
    <w:name w:val="footer"/>
    <w:basedOn w:val="1"/>
    <w:link w:val="66"/>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5"/>
    <w:qFormat/>
    <w:uiPriority w:val="0"/>
    <w:pPr>
      <w:spacing w:before="240" w:after="60"/>
      <w:jc w:val="center"/>
      <w:outlineLvl w:val="0"/>
    </w:pPr>
    <w:rPr>
      <w:rFonts w:ascii="Cambria" w:hAnsi="Cambria"/>
      <w:b/>
      <w:bCs/>
      <w:sz w:val="32"/>
      <w:szCs w:val="32"/>
    </w:rPr>
  </w:style>
  <w:style w:type="paragraph" w:styleId="21">
    <w:name w:val="annotation subject"/>
    <w:basedOn w:val="8"/>
    <w:next w:val="8"/>
    <w:link w:val="63"/>
    <w:qFormat/>
    <w:uiPriority w:val="0"/>
    <w:rPr>
      <w:b/>
      <w:bCs/>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basedOn w:val="24"/>
    <w:link w:val="4"/>
    <w:qFormat/>
    <w:uiPriority w:val="0"/>
    <w:rPr>
      <w:rFonts w:ascii="Calibri" w:hAnsi="Calibri"/>
      <w:b/>
      <w:bCs/>
      <w:kern w:val="44"/>
      <w:sz w:val="44"/>
      <w:szCs w:val="44"/>
    </w:rPr>
  </w:style>
  <w:style w:type="character" w:customStyle="1" w:styleId="31">
    <w:name w:val="标题 2 Char"/>
    <w:basedOn w:val="24"/>
    <w:link w:val="5"/>
    <w:qFormat/>
    <w:uiPriority w:val="0"/>
    <w:rPr>
      <w:rFonts w:ascii="Arial" w:hAnsi="Arial" w:eastAsia="黑体"/>
      <w:b/>
      <w:bCs/>
      <w:sz w:val="32"/>
      <w:szCs w:val="32"/>
    </w:rPr>
  </w:style>
  <w:style w:type="character" w:customStyle="1" w:styleId="32">
    <w:name w:val="标题 3 Char"/>
    <w:basedOn w:val="24"/>
    <w:link w:val="6"/>
    <w:qFormat/>
    <w:uiPriority w:val="0"/>
    <w:rPr>
      <w:rFonts w:ascii="Calibri" w:hAnsi="Calibri"/>
      <w:b/>
      <w:bCs/>
      <w:kern w:val="2"/>
      <w:sz w:val="32"/>
      <w:szCs w:val="32"/>
    </w:rPr>
  </w:style>
  <w:style w:type="character" w:customStyle="1" w:styleId="33">
    <w:name w:val="批注框文本 Char"/>
    <w:link w:val="14"/>
    <w:qFormat/>
    <w:uiPriority w:val="0"/>
    <w:rPr>
      <w:kern w:val="2"/>
      <w:sz w:val="18"/>
      <w:szCs w:val="18"/>
    </w:rPr>
  </w:style>
  <w:style w:type="character" w:customStyle="1" w:styleId="34">
    <w:name w:val="纯文本 Char1"/>
    <w:unhideWhenUsed/>
    <w:qFormat/>
    <w:uiPriority w:val="99"/>
    <w:rPr>
      <w:rFonts w:hint="eastAsia" w:ascii="宋体" w:hAnsi="Tms Rmn" w:eastAsia="宋体"/>
      <w:sz w:val="21"/>
      <w:lang w:val="en-US" w:eastAsia="zh-CN"/>
    </w:rPr>
  </w:style>
  <w:style w:type="character" w:customStyle="1" w:styleId="35">
    <w:name w:val="页眉 Char"/>
    <w:link w:val="16"/>
    <w:qFormat/>
    <w:uiPriority w:val="0"/>
    <w:rPr>
      <w:kern w:val="2"/>
      <w:sz w:val="18"/>
      <w:szCs w:val="18"/>
    </w:rPr>
  </w:style>
  <w:style w:type="character" w:customStyle="1" w:styleId="36">
    <w:name w:val="正文文本缩进 Char"/>
    <w:link w:val="9"/>
    <w:qFormat/>
    <w:uiPriority w:val="0"/>
    <w:rPr>
      <w:kern w:val="2"/>
      <w:sz w:val="21"/>
      <w:szCs w:val="24"/>
    </w:rPr>
  </w:style>
  <w:style w:type="character" w:customStyle="1" w:styleId="37">
    <w:name w:val="批注主题 Char"/>
    <w:link w:val="21"/>
    <w:qFormat/>
    <w:uiPriority w:val="0"/>
    <w:rPr>
      <w:b/>
      <w:bCs/>
      <w:kern w:val="2"/>
      <w:sz w:val="21"/>
      <w:szCs w:val="24"/>
    </w:rPr>
  </w:style>
  <w:style w:type="paragraph" w:customStyle="1" w:styleId="38">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9">
    <w:name w:val="apple-converted-space"/>
    <w:basedOn w:val="24"/>
    <w:qFormat/>
    <w:uiPriority w:val="0"/>
  </w:style>
  <w:style w:type="character" w:customStyle="1" w:styleId="40">
    <w:name w:val="纯文本 Char"/>
    <w:link w:val="11"/>
    <w:qFormat/>
    <w:locked/>
    <w:uiPriority w:val="0"/>
    <w:rPr>
      <w:rFonts w:ascii="宋体" w:hAnsi="Courier New" w:cs="Courier New"/>
      <w:kern w:val="2"/>
      <w:sz w:val="21"/>
      <w:szCs w:val="21"/>
    </w:rPr>
  </w:style>
  <w:style w:type="character" w:customStyle="1" w:styleId="41">
    <w:name w:val="日期 Char"/>
    <w:link w:val="12"/>
    <w:qFormat/>
    <w:uiPriority w:val="0"/>
    <w:rPr>
      <w:kern w:val="2"/>
      <w:sz w:val="21"/>
      <w:szCs w:val="24"/>
    </w:rPr>
  </w:style>
  <w:style w:type="character" w:customStyle="1" w:styleId="42">
    <w:name w:val="正文文本 Char"/>
    <w:link w:val="2"/>
    <w:qFormat/>
    <w:uiPriority w:val="0"/>
    <w:rPr>
      <w:kern w:val="2"/>
      <w:sz w:val="21"/>
      <w:szCs w:val="24"/>
    </w:rPr>
  </w:style>
  <w:style w:type="character" w:customStyle="1" w:styleId="43">
    <w:name w:val="标题 Char"/>
    <w:link w:val="20"/>
    <w:qFormat/>
    <w:locked/>
    <w:uiPriority w:val="0"/>
    <w:rPr>
      <w:rFonts w:ascii="Cambria" w:hAnsi="Cambria"/>
      <w:b/>
      <w:bCs/>
      <w:kern w:val="2"/>
      <w:sz w:val="32"/>
      <w:szCs w:val="32"/>
    </w:rPr>
  </w:style>
  <w:style w:type="character" w:customStyle="1" w:styleId="44">
    <w:name w:val="正文首行缩进两字符 Char Char"/>
    <w:link w:val="45"/>
    <w:qFormat/>
    <w:locked/>
    <w:uiPriority w:val="99"/>
    <w:rPr>
      <w:kern w:val="2"/>
      <w:sz w:val="21"/>
    </w:rPr>
  </w:style>
  <w:style w:type="paragraph" w:customStyle="1" w:styleId="45">
    <w:name w:val="正文首行缩进两字符"/>
    <w:basedOn w:val="1"/>
    <w:link w:val="44"/>
    <w:qFormat/>
    <w:uiPriority w:val="99"/>
    <w:pPr>
      <w:spacing w:line="360" w:lineRule="auto"/>
      <w:ind w:firstLine="200" w:firstLineChars="200"/>
    </w:pPr>
    <w:rPr>
      <w:rFonts w:ascii="Times New Roman" w:hAnsi="Times New Roman"/>
      <w:szCs w:val="20"/>
    </w:rPr>
  </w:style>
  <w:style w:type="character" w:customStyle="1" w:styleId="46">
    <w:name w:val="批注文字 Char"/>
    <w:link w:val="8"/>
    <w:qFormat/>
    <w:uiPriority w:val="0"/>
    <w:rPr>
      <w:kern w:val="2"/>
      <w:sz w:val="21"/>
      <w:szCs w:val="24"/>
    </w:rPr>
  </w:style>
  <w:style w:type="character" w:customStyle="1" w:styleId="47">
    <w:name w:val="NormalCharacter"/>
    <w:qFormat/>
    <w:uiPriority w:val="0"/>
  </w:style>
  <w:style w:type="character" w:customStyle="1" w:styleId="48">
    <w:name w:val="页脚 Char"/>
    <w:link w:val="15"/>
    <w:qFormat/>
    <w:uiPriority w:val="99"/>
    <w:rPr>
      <w:kern w:val="2"/>
      <w:sz w:val="18"/>
      <w:szCs w:val="18"/>
    </w:rPr>
  </w:style>
  <w:style w:type="paragraph" w:customStyle="1" w:styleId="49">
    <w:name w:val="中等深浅网格 1 - 着色 21"/>
    <w:basedOn w:val="1"/>
    <w:qFormat/>
    <w:uiPriority w:val="34"/>
    <w:pPr>
      <w:ind w:firstLine="420" w:firstLineChars="200"/>
    </w:pPr>
    <w:rPr>
      <w:sz w:val="20"/>
      <w:szCs w:val="20"/>
    </w:rPr>
  </w:style>
  <w:style w:type="paragraph" w:customStyle="1" w:styleId="50">
    <w:name w:val="图表左对齐"/>
    <w:basedOn w:val="1"/>
    <w:qFormat/>
    <w:uiPriority w:val="0"/>
    <w:pPr>
      <w:widowControl/>
      <w:spacing w:line="360" w:lineRule="exact"/>
      <w:jc w:val="left"/>
    </w:pPr>
    <w:rPr>
      <w:spacing w:val="-10"/>
      <w:kern w:val="0"/>
      <w:sz w:val="24"/>
      <w:szCs w:val="28"/>
    </w:rPr>
  </w:style>
  <w:style w:type="character" w:customStyle="1" w:styleId="51">
    <w:name w:val="正文文本 Char1"/>
    <w:basedOn w:val="24"/>
    <w:link w:val="2"/>
    <w:qFormat/>
    <w:uiPriority w:val="0"/>
    <w:rPr>
      <w:rFonts w:ascii="Calibri" w:hAnsi="Calibri"/>
      <w:kern w:val="2"/>
      <w:sz w:val="21"/>
      <w:szCs w:val="24"/>
    </w:rPr>
  </w:style>
  <w:style w:type="character" w:customStyle="1" w:styleId="52">
    <w:name w:val="正文文本缩进 Char1"/>
    <w:basedOn w:val="24"/>
    <w:link w:val="9"/>
    <w:qFormat/>
    <w:uiPriority w:val="0"/>
    <w:rPr>
      <w:rFonts w:ascii="Calibri" w:hAnsi="Calibri"/>
      <w:kern w:val="2"/>
      <w:sz w:val="21"/>
      <w:szCs w:val="24"/>
    </w:rPr>
  </w:style>
  <w:style w:type="paragraph" w:styleId="53">
    <w:name w:val="List Paragraph"/>
    <w:basedOn w:val="1"/>
    <w:qFormat/>
    <w:uiPriority w:val="34"/>
    <w:pPr>
      <w:ind w:firstLine="420" w:firstLineChars="200"/>
    </w:pPr>
  </w:style>
  <w:style w:type="paragraph" w:customStyle="1" w:styleId="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5">
    <w:name w:val="标题 Char1"/>
    <w:basedOn w:val="24"/>
    <w:link w:val="20"/>
    <w:qFormat/>
    <w:uiPriority w:val="0"/>
    <w:rPr>
      <w:rFonts w:asciiTheme="majorHAnsi" w:hAnsiTheme="majorHAnsi" w:cstheme="majorBidi"/>
      <w:b/>
      <w:bCs/>
      <w:kern w:val="2"/>
      <w:sz w:val="32"/>
      <w:szCs w:val="32"/>
    </w:rPr>
  </w:style>
  <w:style w:type="character" w:customStyle="1" w:styleId="56">
    <w:name w:val="正文文本缩进 2 Char"/>
    <w:basedOn w:val="24"/>
    <w:link w:val="13"/>
    <w:qFormat/>
    <w:uiPriority w:val="0"/>
    <w:rPr>
      <w:rFonts w:ascii="Calibri" w:hAnsi="Calibri"/>
      <w:kern w:val="2"/>
      <w:sz w:val="21"/>
      <w:szCs w:val="24"/>
    </w:rPr>
  </w:style>
  <w:style w:type="character" w:customStyle="1" w:styleId="57">
    <w:name w:val="日期 Char1"/>
    <w:basedOn w:val="24"/>
    <w:link w:val="12"/>
    <w:qFormat/>
    <w:uiPriority w:val="0"/>
    <w:rPr>
      <w:rFonts w:ascii="Calibri" w:hAnsi="Calibri"/>
      <w:kern w:val="2"/>
      <w:sz w:val="21"/>
      <w:szCs w:val="24"/>
    </w:rPr>
  </w:style>
  <w:style w:type="character" w:customStyle="1" w:styleId="58">
    <w:name w:val="批注文字 Char1"/>
    <w:basedOn w:val="24"/>
    <w:link w:val="8"/>
    <w:qFormat/>
    <w:uiPriority w:val="0"/>
    <w:rPr>
      <w:rFonts w:ascii="Calibri" w:hAnsi="Calibri"/>
      <w:kern w:val="2"/>
      <w:sz w:val="21"/>
      <w:szCs w:val="24"/>
    </w:rPr>
  </w:style>
  <w:style w:type="paragraph" w:customStyle="1" w:styleId="59">
    <w:name w:val="样式 首行缩进:  2 字符"/>
    <w:basedOn w:val="1"/>
    <w:qFormat/>
    <w:uiPriority w:val="0"/>
    <w:pPr>
      <w:spacing w:line="400" w:lineRule="exact"/>
      <w:ind w:firstLine="200" w:firstLineChars="200"/>
    </w:pPr>
    <w:rPr>
      <w:rFonts w:cs="宋体"/>
      <w:sz w:val="24"/>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Char1 Char Char Char Char Char Char"/>
    <w:basedOn w:val="1"/>
    <w:qFormat/>
    <w:uiPriority w:val="0"/>
    <w:rPr>
      <w:rFonts w:ascii="Tahoma" w:hAnsi="Tahoma"/>
      <w:sz w:val="24"/>
      <w:szCs w:val="20"/>
    </w:rPr>
  </w:style>
  <w:style w:type="paragraph" w:customStyle="1" w:styleId="62">
    <w:name w:val="p0"/>
    <w:basedOn w:val="1"/>
    <w:qFormat/>
    <w:uiPriority w:val="99"/>
    <w:pPr>
      <w:widowControl/>
    </w:pPr>
    <w:rPr>
      <w:kern w:val="0"/>
      <w:szCs w:val="20"/>
    </w:rPr>
  </w:style>
  <w:style w:type="character" w:customStyle="1" w:styleId="63">
    <w:name w:val="批注主题 Char1"/>
    <w:basedOn w:val="58"/>
    <w:link w:val="21"/>
    <w:qFormat/>
    <w:uiPriority w:val="0"/>
    <w:rPr>
      <w:b/>
      <w:bCs/>
    </w:rPr>
  </w:style>
  <w:style w:type="paragraph" w:customStyle="1" w:styleId="64">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5">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6">
    <w:name w:val="页脚 Char1"/>
    <w:basedOn w:val="24"/>
    <w:link w:val="15"/>
    <w:qFormat/>
    <w:uiPriority w:val="0"/>
    <w:rPr>
      <w:rFonts w:ascii="Calibri" w:hAnsi="Calibri"/>
      <w:kern w:val="2"/>
      <w:sz w:val="18"/>
      <w:szCs w:val="18"/>
    </w:rPr>
  </w:style>
  <w:style w:type="character" w:customStyle="1" w:styleId="67">
    <w:name w:val="批注框文本 Char1"/>
    <w:basedOn w:val="24"/>
    <w:link w:val="14"/>
    <w:qFormat/>
    <w:uiPriority w:val="0"/>
    <w:rPr>
      <w:rFonts w:ascii="Calibri" w:hAnsi="Calibri"/>
      <w:kern w:val="2"/>
      <w:sz w:val="18"/>
      <w:szCs w:val="18"/>
    </w:rPr>
  </w:style>
  <w:style w:type="character" w:customStyle="1" w:styleId="68">
    <w:name w:val="纯文本 Char2"/>
    <w:basedOn w:val="24"/>
    <w:link w:val="11"/>
    <w:qFormat/>
    <w:uiPriority w:val="0"/>
    <w:rPr>
      <w:rFonts w:ascii="宋体" w:hAnsi="Courier New" w:cs="Courier New"/>
      <w:kern w:val="2"/>
      <w:sz w:val="21"/>
      <w:szCs w:val="21"/>
    </w:rPr>
  </w:style>
  <w:style w:type="paragraph" w:customStyle="1" w:styleId="69">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0">
    <w:name w:val="页眉 Char1"/>
    <w:basedOn w:val="24"/>
    <w:link w:val="16"/>
    <w:qFormat/>
    <w:uiPriority w:val="0"/>
    <w:rPr>
      <w:rFonts w:ascii="Calibri" w:hAnsi="Calibri"/>
      <w:kern w:val="2"/>
      <w:sz w:val="18"/>
      <w:szCs w:val="18"/>
    </w:rPr>
  </w:style>
  <w:style w:type="paragraph" w:customStyle="1" w:styleId="71">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2">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4">
    <w:name w:val="列出段落1"/>
    <w:basedOn w:val="1"/>
    <w:qFormat/>
    <w:uiPriority w:val="0"/>
    <w:pPr>
      <w:ind w:firstLine="420" w:firstLineChars="200"/>
    </w:pPr>
    <w:rPr>
      <w:rFonts w:ascii="Calibri" w:hAnsi="Calibri"/>
      <w:szCs w:val="22"/>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10393</Words>
  <Characters>10938</Characters>
  <Lines>102</Lines>
  <Paragraphs>28</Paragraphs>
  <TotalTime>6</TotalTime>
  <ScaleCrop>false</ScaleCrop>
  <LinksUpToDate>false</LinksUpToDate>
  <CharactersWithSpaces>12517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2023-01-29T08:43:53Z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F43260EA7D044F58AE47754BF9C4C356</vt:lpwstr>
  </property>
</Properties>
</file>