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60" w:lineRule="auto"/>
        <w:jc w:val="center"/>
        <w:rPr>
          <w:rFonts w:ascii="Times New Roman" w:hAnsi="Times New Roman"/>
          <w:sz w:val="32"/>
          <w:szCs w:val="32"/>
        </w:rPr>
      </w:pPr>
      <w:bookmarkStart w:id="0" w:name="_Toc52036320"/>
      <w:r>
        <w:rPr>
          <w:rFonts w:hint="eastAsia" w:ascii="Times New Roman" w:hAnsi="Times New Roman"/>
          <w:sz w:val="32"/>
          <w:szCs w:val="32"/>
        </w:rPr>
        <w:t>三台县人民医院</w:t>
      </w:r>
    </w:p>
    <w:p>
      <w:pPr>
        <w:pStyle w:val="3"/>
        <w:spacing w:before="0" w:after="0" w:line="360" w:lineRule="auto"/>
        <w:jc w:val="center"/>
        <w:rPr>
          <w:rFonts w:hint="eastAsia" w:ascii="Times New Roman" w:hAnsi="Times New Roman"/>
          <w:sz w:val="32"/>
          <w:szCs w:val="32"/>
        </w:rPr>
      </w:pPr>
      <w:r>
        <w:rPr>
          <w:rFonts w:hint="eastAsia" w:ascii="Times New Roman" w:hAnsi="Times New Roman"/>
          <w:sz w:val="32"/>
          <w:szCs w:val="32"/>
        </w:rPr>
        <w:t>关于临床技能培训模型的采购公告</w:t>
      </w:r>
    </w:p>
    <w:p>
      <w:pPr>
        <w:spacing w:line="440" w:lineRule="exact"/>
        <w:rPr>
          <w:rFonts w:ascii="Times New Roman" w:hAnsi="Times New Roman"/>
          <w:b/>
          <w:bCs/>
          <w:sz w:val="24"/>
          <w:szCs w:val="24"/>
        </w:rPr>
      </w:pPr>
      <w:r>
        <w:rPr>
          <w:rFonts w:ascii="Times New Roman" w:hAnsi="Times New Roman"/>
          <w:b/>
          <w:bCs/>
          <w:sz w:val="24"/>
          <w:szCs w:val="24"/>
        </w:rPr>
        <w:t>各潜在比选申请人：</w:t>
      </w:r>
    </w:p>
    <w:p>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决定采购临床技能培训模型</w:t>
      </w:r>
      <w:r>
        <w:rPr>
          <w:rFonts w:hint="eastAsia" w:ascii="Times New Roman" w:hAnsi="Times New Roman"/>
          <w:color w:val="000000"/>
          <w:sz w:val="24"/>
          <w:szCs w:val="24"/>
          <w:lang w:eastAsia="zh-CN"/>
        </w:rPr>
        <w:t>，</w:t>
      </w:r>
      <w:r>
        <w:rPr>
          <w:rFonts w:hint="eastAsia" w:ascii="Times New Roman" w:hAnsi="Times New Roman"/>
          <w:color w:val="000000"/>
          <w:sz w:val="24"/>
          <w:szCs w:val="24"/>
        </w:rPr>
        <w:t>兹以公告方式邀请符合要求的供应商参加比选。</w:t>
      </w:r>
    </w:p>
    <w:p>
      <w:pPr>
        <w:numPr>
          <w:ilvl w:val="0"/>
          <w:numId w:val="0"/>
        </w:numPr>
        <w:spacing w:line="440" w:lineRule="exact"/>
        <w:ind w:leftChars="0"/>
        <w:rPr>
          <w:rFonts w:ascii="Times New Roman" w:hAnsi="Times New Roman"/>
          <w:bCs/>
          <w:sz w:val="24"/>
          <w:szCs w:val="24"/>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bCs/>
          <w:sz w:val="24"/>
          <w:szCs w:val="24"/>
        </w:rPr>
        <w:t>临床技能培训模型</w:t>
      </w:r>
      <w:r>
        <w:rPr>
          <w:rFonts w:ascii="Times New Roman" w:hAnsi="Times New Roman"/>
          <w:bCs/>
          <w:sz w:val="24"/>
          <w:szCs w:val="24"/>
        </w:rPr>
        <w:t>采购项目</w:t>
      </w:r>
    </w:p>
    <w:p>
      <w:pPr>
        <w:numPr>
          <w:ilvl w:val="0"/>
          <w:numId w:val="0"/>
        </w:numPr>
        <w:spacing w:line="440" w:lineRule="exact"/>
        <w:ind w:leftChars="0"/>
        <w:rPr>
          <w:rFonts w:ascii="Times New Roman" w:hAnsi="Times New Roman"/>
          <w:b/>
          <w:bCs/>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1"/>
        <w:tblW w:w="845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71"/>
        <w:gridCol w:w="3370"/>
        <w:gridCol w:w="2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w:t>
            </w: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模型类型</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外科</w:t>
            </w: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切开、缝合</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结扎止血（表面出血结扎止血）</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打结</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体表肿物切除</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开关腹</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脓肿切开引流</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胸腔闭式引流</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肠管吻合模型</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2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术前无菌手术训练及手术切口设计训练模型</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内科</w:t>
            </w: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甲状腺检查模型</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胸腔穿刺</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腹腔穿刺</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骨穿</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腰穿</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妇产科</w:t>
            </w: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阴道后穹窿穿刺</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盆腔检查</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放取环</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1" w:hRule="atLeast"/>
        </w:trPr>
        <w:tc>
          <w:tcPr>
            <w:tcW w:w="2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急诊科</w:t>
            </w: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气管插管（COVID-19综合技能训练模型：鼻咽拭子采集、气管插管、环甲模穿刺，可经口经鼻腔、带模拟肺）</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创伤模型组件</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2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气管切开（带身体）（耳鼻喉科也需要）</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简易型心肺复苏模型（半身型）</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w:t>
            </w: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吸痰</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男性导尿</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女性导尿</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桡动脉穿刺手臂（麻醉科也需要）</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静脉穿刺手臂</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注射术</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中心静脉穿刺模型（麻醉科需要）</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全科</w:t>
            </w: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灌肠</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眼冲洗</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2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耳鼻咽喉科</w:t>
            </w: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头颈器官模型</w:t>
            </w:r>
          </w:p>
        </w:tc>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pPr>
        <w:pStyle w:val="2"/>
      </w:pPr>
    </w:p>
    <w:p>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zh-CN"/>
        </w:rPr>
        <w:t>三、</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3</w:t>
      </w:r>
      <w:r>
        <w:rPr>
          <w:rFonts w:ascii="Times New Roman" w:hAnsi="Times New Roman"/>
          <w:color w:val="auto"/>
          <w:sz w:val="24"/>
          <w:szCs w:val="24"/>
        </w:rPr>
        <w:t>年</w:t>
      </w:r>
      <w:r>
        <w:rPr>
          <w:rFonts w:hint="eastAsia" w:ascii="Times New Roman" w:hAnsi="Times New Roman"/>
          <w:color w:val="auto"/>
          <w:sz w:val="24"/>
          <w:szCs w:val="24"/>
          <w:lang w:val="en-US" w:eastAsia="zh-CN"/>
        </w:rPr>
        <w:t>7</w:t>
      </w:r>
      <w:r>
        <w:rPr>
          <w:rFonts w:ascii="Times New Roman" w:hAnsi="Times New Roman"/>
          <w:color w:val="auto"/>
          <w:sz w:val="24"/>
          <w:szCs w:val="24"/>
        </w:rPr>
        <w:t>月</w:t>
      </w:r>
      <w:r>
        <w:rPr>
          <w:rFonts w:hint="eastAsia" w:ascii="Times New Roman" w:hAnsi="Times New Roman"/>
          <w:color w:val="auto"/>
          <w:sz w:val="24"/>
          <w:szCs w:val="24"/>
          <w:lang w:val="en-US" w:eastAsia="zh-CN"/>
        </w:rPr>
        <w:t>6</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3</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7</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10</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rPr>
        <w:t>四、</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3</w:t>
      </w:r>
      <w:r>
        <w:rPr>
          <w:rFonts w:ascii="Times New Roman" w:hAnsi="Times New Roman"/>
          <w:color w:val="auto"/>
          <w:sz w:val="24"/>
          <w:szCs w:val="24"/>
        </w:rPr>
        <w:t>年</w:t>
      </w:r>
      <w:r>
        <w:rPr>
          <w:rFonts w:hint="eastAsia" w:ascii="Times New Roman" w:hAnsi="Times New Roman"/>
          <w:color w:val="auto"/>
          <w:sz w:val="24"/>
          <w:szCs w:val="24"/>
          <w:lang w:val="en-US" w:eastAsia="zh-CN"/>
        </w:rPr>
        <w:t>7</w:t>
      </w:r>
      <w:r>
        <w:rPr>
          <w:rFonts w:ascii="Times New Roman" w:hAnsi="Times New Roman"/>
          <w:color w:val="auto"/>
          <w:sz w:val="24"/>
          <w:szCs w:val="24"/>
        </w:rPr>
        <w:t>月</w:t>
      </w:r>
      <w:r>
        <w:rPr>
          <w:rFonts w:hint="eastAsia" w:ascii="Times New Roman" w:hAnsi="Times New Roman"/>
          <w:color w:val="auto"/>
          <w:sz w:val="24"/>
          <w:szCs w:val="24"/>
          <w:lang w:val="en-US" w:eastAsia="zh-CN"/>
        </w:rPr>
        <w:t>13</w:t>
      </w:r>
      <w:r>
        <w:rPr>
          <w:rFonts w:ascii="Times New Roman" w:hAnsi="Times New Roman"/>
          <w:color w:val="auto"/>
          <w:sz w:val="24"/>
          <w:szCs w:val="24"/>
        </w:rPr>
        <w:t>日</w:t>
      </w:r>
      <w:r>
        <w:rPr>
          <w:rFonts w:hint="eastAsia" w:ascii="Times New Roman" w:hAnsi="Times New Roman"/>
          <w:color w:val="auto"/>
          <w:kern w:val="0"/>
          <w:sz w:val="24"/>
          <w:szCs w:val="24"/>
          <w:lang w:val="en-US" w:eastAsia="zh-CN"/>
        </w:rPr>
        <w:t>15：00</w:t>
      </w:r>
      <w:r>
        <w:rPr>
          <w:rFonts w:ascii="Times New Roman" w:hAnsi="Times New Roman"/>
          <w:color w:val="auto"/>
          <w:kern w:val="0"/>
          <w:sz w:val="24"/>
          <w:szCs w:val="24"/>
        </w:rPr>
        <w:t>（北京时间）。</w:t>
      </w:r>
    </w:p>
    <w:p>
      <w:pPr>
        <w:spacing w:line="440" w:lineRule="exact"/>
        <w:rPr>
          <w:rFonts w:hint="eastAsia" w:ascii="Times New Roman" w:hAnsi="Times New Roman" w:eastAsia="宋体"/>
          <w:color w:val="auto"/>
          <w:kern w:val="0"/>
          <w:sz w:val="24"/>
          <w:szCs w:val="24"/>
          <w:lang w:val="en-US" w:eastAsia="zh-CN"/>
        </w:rPr>
      </w:pPr>
      <w:r>
        <w:rPr>
          <w:rFonts w:hint="eastAsia" w:ascii="Times New Roman" w:hAnsi="Times New Roman"/>
          <w:b/>
          <w:bCs/>
          <w:color w:val="auto"/>
          <w:sz w:val="24"/>
          <w:szCs w:val="24"/>
        </w:rPr>
        <w:t>五、</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hint="eastAsia" w:ascii="Times New Roman" w:hAnsi="Times New Roman"/>
          <w:color w:val="auto"/>
          <w:kern w:val="0"/>
          <w:sz w:val="24"/>
          <w:szCs w:val="24"/>
          <w:lang w:eastAsia="zh-CN"/>
        </w:rPr>
        <w:t>，</w:t>
      </w:r>
      <w:r>
        <w:rPr>
          <w:rFonts w:ascii="Times New Roman" w:hAnsi="Times New Roman"/>
          <w:color w:val="auto"/>
          <w:kern w:val="0"/>
          <w:sz w:val="24"/>
          <w:szCs w:val="24"/>
        </w:rPr>
        <w:t>逾期送达或密封和标注不符合比选邀请文件规定的响应文件恕不接受。</w:t>
      </w:r>
      <w:r>
        <w:rPr>
          <w:rFonts w:hint="eastAsia" w:ascii="Times New Roman" w:hAnsi="Times New Roman"/>
          <w:color w:val="auto"/>
          <w:kern w:val="0"/>
          <w:sz w:val="24"/>
          <w:szCs w:val="24"/>
          <w:lang w:eastAsia="zh-CN"/>
        </w:rPr>
        <w:t>递交地点：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eastAsia="zh-CN"/>
        </w:rPr>
        <w:t>二</w:t>
      </w:r>
      <w:r>
        <w:rPr>
          <w:rFonts w:hint="eastAsia" w:ascii="Times New Roman" w:hAnsi="Times New Roman"/>
          <w:b w:val="0"/>
          <w:bCs/>
          <w:color w:val="auto"/>
          <w:sz w:val="24"/>
          <w:szCs w:val="24"/>
        </w:rPr>
        <w:t>楼会议室</w:t>
      </w:r>
      <w:r>
        <w:rPr>
          <w:rFonts w:hint="eastAsia" w:ascii="Times New Roman" w:hAnsi="Times New Roman"/>
          <w:b w:val="0"/>
          <w:bCs/>
          <w:color w:val="auto"/>
          <w:sz w:val="24"/>
          <w:szCs w:val="24"/>
          <w:lang w:eastAsia="zh-CN"/>
        </w:rPr>
        <w:t>，递交方式：现场递交。</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六、</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3</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7</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13</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5：00</w:t>
      </w:r>
      <w:r>
        <w:rPr>
          <w:rFonts w:ascii="Times New Roman" w:hAnsi="Times New Roman"/>
          <w:b w:val="0"/>
          <w:bCs/>
          <w:color w:val="auto"/>
          <w:kern w:val="0"/>
          <w:sz w:val="24"/>
          <w:szCs w:val="24"/>
        </w:rPr>
        <w:t>（北京时间）。</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七、</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eastAsia="zh-CN"/>
        </w:rPr>
        <w:t>二</w:t>
      </w:r>
      <w:r>
        <w:rPr>
          <w:rFonts w:hint="eastAsia" w:ascii="Times New Roman" w:hAnsi="Times New Roman"/>
          <w:b w:val="0"/>
          <w:bCs/>
          <w:color w:val="auto"/>
          <w:sz w:val="24"/>
          <w:szCs w:val="24"/>
        </w:rPr>
        <w:t>楼会议室</w:t>
      </w:r>
    </w:p>
    <w:p>
      <w:pPr>
        <w:spacing w:line="440" w:lineRule="exact"/>
        <w:rPr>
          <w:rFonts w:ascii="Times New Roman" w:hAnsi="Times New Roman"/>
          <w:b/>
          <w:bCs/>
          <w:color w:val="auto"/>
          <w:sz w:val="24"/>
          <w:szCs w:val="24"/>
        </w:rPr>
      </w:pPr>
      <w:r>
        <w:rPr>
          <w:rFonts w:hint="eastAsia" w:ascii="Times New Roman" w:hAnsi="Times New Roman"/>
          <w:b/>
          <w:color w:val="auto"/>
          <w:kern w:val="0"/>
          <w:sz w:val="24"/>
          <w:szCs w:val="24"/>
        </w:rPr>
        <w:t>八、</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以公告形式发布。</w:t>
      </w:r>
    </w:p>
    <w:p>
      <w:pPr>
        <w:spacing w:line="440" w:lineRule="exact"/>
        <w:rPr>
          <w:rFonts w:ascii="Times New Roman" w:hAnsi="Times New Roman"/>
          <w:b/>
          <w:color w:val="auto"/>
          <w:kern w:val="0"/>
          <w:sz w:val="24"/>
          <w:szCs w:val="24"/>
        </w:rPr>
      </w:pPr>
      <w:r>
        <w:rPr>
          <w:rFonts w:hint="eastAsia" w:ascii="Times New Roman" w:hAnsi="Times New Roman"/>
          <w:b/>
          <w:bCs/>
          <w:color w:val="auto"/>
          <w:sz w:val="24"/>
          <w:szCs w:val="24"/>
        </w:rPr>
        <w:t>九、比选文件详见附件</w:t>
      </w:r>
    </w:p>
    <w:p>
      <w:pPr>
        <w:spacing w:line="440" w:lineRule="exact"/>
        <w:jc w:val="right"/>
        <w:rPr>
          <w:rFonts w:ascii="Times New Roman" w:hAnsi="Times New Roman"/>
          <w:b w:val="0"/>
          <w:bCs/>
          <w:color w:val="auto"/>
          <w:kern w:val="0"/>
          <w:sz w:val="24"/>
          <w:szCs w:val="24"/>
        </w:rPr>
      </w:pPr>
      <w:r>
        <w:rPr>
          <w:rFonts w:hint="eastAsia" w:ascii="Times New Roman" w:hAnsi="Times New Roman"/>
          <w:b w:val="0"/>
          <w:bCs/>
          <w:color w:val="auto"/>
          <w:kern w:val="0"/>
          <w:sz w:val="24"/>
          <w:szCs w:val="24"/>
        </w:rPr>
        <w:t>三台县人民医院采购办</w:t>
      </w:r>
    </w:p>
    <w:p>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szCs w:val="24"/>
        </w:rPr>
        <w:t>202</w:t>
      </w:r>
      <w:r>
        <w:rPr>
          <w:rFonts w:hint="eastAsia" w:ascii="Times New Roman" w:hAnsi="Times New Roman"/>
          <w:b w:val="0"/>
          <w:bCs/>
          <w:color w:val="auto"/>
          <w:kern w:val="0"/>
          <w:sz w:val="24"/>
          <w:szCs w:val="24"/>
          <w:lang w:val="en-US" w:eastAsia="zh-CN"/>
        </w:rPr>
        <w:t>3</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7</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5</w:t>
      </w:r>
      <w:r>
        <w:rPr>
          <w:rFonts w:ascii="Times New Roman" w:hAnsi="Times New Roman"/>
          <w:b w:val="0"/>
          <w:bCs/>
          <w:color w:val="auto"/>
          <w:kern w:val="0"/>
          <w:sz w:val="24"/>
          <w:szCs w:val="24"/>
        </w:rPr>
        <w:t>日</w:t>
      </w:r>
    </w:p>
    <w:p>
      <w:pPr>
        <w:rPr>
          <w:rFonts w:hint="eastAsia" w:ascii="Times New Roman" w:hAnsi="Times New Roman"/>
          <w:color w:val="auto"/>
          <w:sz w:val="36"/>
          <w:szCs w:val="36"/>
        </w:rPr>
      </w:pPr>
      <w:r>
        <w:rPr>
          <w:rFonts w:hint="eastAsia" w:ascii="Times New Roman" w:hAnsi="Times New Roman"/>
          <w:color w:val="auto"/>
          <w:sz w:val="36"/>
          <w:szCs w:val="36"/>
        </w:rPr>
        <w:br w:type="page"/>
      </w:r>
    </w:p>
    <w:p>
      <w:pPr>
        <w:pStyle w:val="3"/>
        <w:pageBreakBefore w:val="0"/>
        <w:kinsoku/>
        <w:wordWrap/>
        <w:overflowPunct/>
        <w:topLinePunct w:val="0"/>
        <w:bidi w:val="0"/>
        <w:snapToGrid/>
        <w:spacing w:before="0" w:after="0" w:line="400" w:lineRule="exact"/>
        <w:jc w:val="left"/>
        <w:textAlignment w:val="auto"/>
        <w:rPr>
          <w:rFonts w:ascii="Times New Roman" w:hAnsi="Times New Roman"/>
          <w:color w:val="auto"/>
          <w:sz w:val="36"/>
          <w:szCs w:val="36"/>
        </w:rPr>
      </w:pPr>
      <w:r>
        <w:rPr>
          <w:rFonts w:hint="eastAsia" w:ascii="Times New Roman" w:hAnsi="Times New Roman"/>
          <w:color w:val="auto"/>
          <w:sz w:val="36"/>
          <w:szCs w:val="36"/>
        </w:rPr>
        <w:t>附件</w:t>
      </w:r>
    </w:p>
    <w:p>
      <w:pPr>
        <w:pStyle w:val="3"/>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w:t>
      </w:r>
    </w:p>
    <w:p>
      <w:pPr>
        <w:pStyle w:val="3"/>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关于</w:t>
      </w:r>
      <w:r>
        <w:rPr>
          <w:rFonts w:hint="eastAsia" w:ascii="Times New Roman" w:hAnsi="Times New Roman"/>
          <w:sz w:val="32"/>
          <w:szCs w:val="32"/>
        </w:rPr>
        <w:t>临床技能培训模型</w:t>
      </w:r>
      <w:r>
        <w:rPr>
          <w:rFonts w:hint="eastAsia" w:ascii="Times New Roman" w:hAnsi="Times New Roman"/>
          <w:color w:val="auto"/>
          <w:sz w:val="32"/>
          <w:szCs w:val="32"/>
          <w:lang w:eastAsia="zh-CN"/>
        </w:rPr>
        <w:t>采购的比选文件</w:t>
      </w:r>
    </w:p>
    <w:p>
      <w:pPr>
        <w:pStyle w:val="3"/>
        <w:pageBreakBefore w:val="0"/>
        <w:kinsoku/>
        <w:wordWrap/>
        <w:overflowPunct/>
        <w:topLinePunct w:val="0"/>
        <w:bidi w:val="0"/>
        <w:snapToGrid/>
        <w:spacing w:before="0" w:after="0" w:line="400" w:lineRule="exact"/>
        <w:jc w:val="center"/>
        <w:textAlignment w:val="auto"/>
        <w:rPr>
          <w:rFonts w:ascii="Times New Roman" w:hAnsi="Times New Roman"/>
          <w:b w:val="0"/>
          <w:color w:val="auto"/>
          <w:sz w:val="30"/>
          <w:szCs w:val="30"/>
        </w:rPr>
      </w:pPr>
      <w:r>
        <w:rPr>
          <w:rFonts w:ascii="Times New Roman" w:hAnsi="Times New Roman"/>
          <w:color w:val="auto"/>
          <w:sz w:val="32"/>
          <w:szCs w:val="32"/>
        </w:rPr>
        <w:t>第一章  比选邀请函</w:t>
      </w:r>
      <w:bookmarkEnd w:id="0"/>
    </w:p>
    <w:p>
      <w:pPr>
        <w:spacing w:line="440" w:lineRule="exact"/>
        <w:rPr>
          <w:rFonts w:ascii="Times New Roman" w:hAnsi="Times New Roman"/>
          <w:b/>
          <w:bCs/>
          <w:sz w:val="24"/>
          <w:szCs w:val="24"/>
        </w:rPr>
      </w:pPr>
      <w:r>
        <w:rPr>
          <w:rFonts w:ascii="Times New Roman" w:hAnsi="Times New Roman"/>
          <w:b/>
          <w:bCs/>
          <w:sz w:val="24"/>
          <w:szCs w:val="24"/>
        </w:rPr>
        <w:t>各潜在比选申请人：</w:t>
      </w:r>
    </w:p>
    <w:p>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决定采购临床技能培训模型</w:t>
      </w:r>
      <w:r>
        <w:rPr>
          <w:rFonts w:hint="eastAsia" w:ascii="Times New Roman" w:hAnsi="Times New Roman"/>
          <w:color w:val="000000"/>
          <w:sz w:val="24"/>
          <w:szCs w:val="24"/>
          <w:lang w:eastAsia="zh-CN"/>
        </w:rPr>
        <w:t>，</w:t>
      </w:r>
      <w:r>
        <w:rPr>
          <w:rFonts w:hint="eastAsia" w:ascii="Times New Roman" w:hAnsi="Times New Roman"/>
          <w:color w:val="000000"/>
          <w:sz w:val="24"/>
          <w:szCs w:val="24"/>
        </w:rPr>
        <w:t>兹以公告方式邀请符合要求的供应商参加比选。</w:t>
      </w:r>
    </w:p>
    <w:p>
      <w:pPr>
        <w:numPr>
          <w:ilvl w:val="0"/>
          <w:numId w:val="0"/>
        </w:numPr>
        <w:spacing w:line="440" w:lineRule="exact"/>
        <w:ind w:leftChars="0"/>
        <w:rPr>
          <w:rFonts w:hint="default" w:ascii="Times New Roman" w:hAnsi="Times New Roman" w:eastAsia="宋体"/>
          <w:bCs/>
          <w:sz w:val="24"/>
          <w:szCs w:val="24"/>
          <w:lang w:val="en-US" w:eastAsia="zh-CN"/>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b/>
          <w:bCs/>
          <w:sz w:val="24"/>
          <w:szCs w:val="24"/>
          <w:lang w:eastAsia="zh-CN"/>
        </w:rPr>
        <w:t>及限价</w:t>
      </w:r>
      <w:r>
        <w:rPr>
          <w:rFonts w:ascii="Times New Roman" w:hAnsi="Times New Roman"/>
          <w:b/>
          <w:bCs/>
          <w:sz w:val="24"/>
          <w:szCs w:val="24"/>
        </w:rPr>
        <w:t>：</w:t>
      </w:r>
      <w:r>
        <w:rPr>
          <w:rFonts w:hint="eastAsia" w:ascii="Times New Roman" w:hAnsi="Times New Roman"/>
          <w:bCs/>
          <w:sz w:val="24"/>
          <w:szCs w:val="24"/>
        </w:rPr>
        <w:t>临床技能培训模型</w:t>
      </w:r>
      <w:r>
        <w:rPr>
          <w:rFonts w:ascii="Times New Roman" w:hAnsi="Times New Roman"/>
          <w:bCs/>
          <w:sz w:val="24"/>
          <w:szCs w:val="24"/>
        </w:rPr>
        <w:t>采购项目</w:t>
      </w:r>
      <w:r>
        <w:rPr>
          <w:rFonts w:hint="eastAsia" w:ascii="Times New Roman" w:hAnsi="Times New Roman"/>
          <w:bCs/>
          <w:sz w:val="24"/>
          <w:szCs w:val="24"/>
          <w:lang w:eastAsia="zh-CN"/>
        </w:rPr>
        <w:t>，最高限价</w:t>
      </w:r>
      <w:r>
        <w:rPr>
          <w:rFonts w:hint="eastAsia" w:ascii="Times New Roman" w:hAnsi="Times New Roman"/>
          <w:bCs/>
          <w:sz w:val="24"/>
          <w:szCs w:val="24"/>
          <w:lang w:val="en-US" w:eastAsia="zh-CN"/>
        </w:rPr>
        <w:t>10万元。</w:t>
      </w:r>
    </w:p>
    <w:p>
      <w:pPr>
        <w:numPr>
          <w:ilvl w:val="0"/>
          <w:numId w:val="0"/>
        </w:numPr>
        <w:spacing w:line="440" w:lineRule="exact"/>
        <w:ind w:leftChars="0"/>
        <w:rPr>
          <w:rFonts w:ascii="Times New Roman" w:hAnsi="Times New Roman"/>
          <w:b/>
          <w:bCs/>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1"/>
        <w:tblW w:w="837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42"/>
        <w:gridCol w:w="3741"/>
        <w:gridCol w:w="22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模型类型</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23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外科</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切开、缝合</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2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结扎止血（表面出血结扎止血）</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2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打结</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2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体表肿物切除</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2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开关腹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2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脓肿切开引流</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2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胸腔闭式引流</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2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肠管吻合模型</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2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术前无菌手术训练及手术切口设计训练模型</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23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内科</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甲状腺检查模型</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2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胸腔穿刺</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2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腹腔穿刺</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2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骨穿</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2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腰穿</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23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妇产科</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阴道后穹窿穿刺</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2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盆腔检查</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2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放取环</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23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急诊科</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气管插管（COVID-19综合技能训练模型：鼻咽拭子采集、气管插管、环甲模穿刺，可经口经鼻腔、带模拟肺）</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2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创伤模型组件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2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气管切开（带身体）（耳鼻喉科也需要）</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2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简易型心肺复苏模型（半身型）</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23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吸痰</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2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男性导尿</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2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女性导尿</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2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桡动脉穿刺手臂（麻醉科也需要）</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2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静脉穿刺手臂</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2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注射术</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2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中心静脉穿刺模型（麻醉科需要）</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23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全科</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灌肠</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2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眼冲洗</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耳鼻咽喉科</w:t>
            </w:r>
          </w:p>
        </w:tc>
        <w:tc>
          <w:tcPr>
            <w:tcW w:w="3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头颈器官模型</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val="en-US" w:eastAsia="zh-CN"/>
        </w:rPr>
        <w:t>三、</w:t>
      </w:r>
      <w:r>
        <w:rPr>
          <w:rFonts w:ascii="Times New Roman" w:hAnsi="Times New Roman"/>
          <w:b/>
          <w:bCs/>
          <w:sz w:val="24"/>
          <w:szCs w:val="24"/>
        </w:rPr>
        <w:t>合格比选申请人资格要求</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1、具有独立承担民事责任的能力；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2、具有良好的商业信誉和健全的财务会计制度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3、具备履行合同所必需的设备和专业技术能力；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4、具有依法缴纳税收和社会保障资金的良好记录；</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5、参加采购活动前三年内，在经营活动中没有重大违法记录；</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6、与其他比选申请人供应商之间，单位负责人不为同一人而且不存在直接控股、管理关系；</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7</w:t>
      </w:r>
      <w:r>
        <w:rPr>
          <w:rFonts w:ascii="Times New Roman" w:hAnsi="Times New Roman"/>
          <w:kern w:val="0"/>
          <w:sz w:val="24"/>
          <w:szCs w:val="24"/>
          <w:lang w:val="zh-CN"/>
        </w:rPr>
        <w:t>、法定代表人授权委托书；</w:t>
      </w:r>
    </w:p>
    <w:p>
      <w:pPr>
        <w:pStyle w:val="2"/>
        <w:rPr>
          <w:rFonts w:ascii="Times New Roman" w:hAnsi="Times New Roman" w:eastAsia="宋体" w:cs="Times New Roman"/>
          <w:kern w:val="0"/>
          <w:sz w:val="24"/>
          <w:szCs w:val="24"/>
          <w:lang w:val="zh-CN" w:eastAsia="zh-CN" w:bidi="ar-SA"/>
        </w:rPr>
      </w:pPr>
      <w:r>
        <w:rPr>
          <w:rFonts w:hint="eastAsia" w:ascii="Times New Roman" w:hAnsi="Times New Roman" w:eastAsia="宋体" w:cs="Times New Roman"/>
          <w:kern w:val="0"/>
          <w:sz w:val="24"/>
          <w:szCs w:val="24"/>
          <w:lang w:val="en-US" w:eastAsia="zh-CN" w:bidi="ar-SA"/>
        </w:rPr>
        <w:t>8、生产厂家/上级代理商的证件，包括营业执照、授权书等。</w:t>
      </w:r>
    </w:p>
    <w:p>
      <w:pPr>
        <w:pageBreakBefore w:val="0"/>
        <w:kinsoku/>
        <w:wordWrap/>
        <w:overflowPunct/>
        <w:topLinePunct w:val="0"/>
        <w:autoSpaceDE w:val="0"/>
        <w:autoSpaceDN w:val="0"/>
        <w:bidi w:val="0"/>
        <w:adjustRightInd w:val="0"/>
        <w:snapToGrid/>
        <w:spacing w:line="400" w:lineRule="exact"/>
        <w:ind w:left="361" w:hanging="361" w:hangingChars="150"/>
        <w:contextualSpacing/>
        <w:textAlignment w:val="auto"/>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四、</w:t>
      </w:r>
      <w:r>
        <w:rPr>
          <w:rFonts w:ascii="Times New Roman" w:hAnsi="Times New Roman"/>
          <w:b/>
          <w:color w:val="0D0D0D"/>
          <w:kern w:val="0"/>
          <w:sz w:val="24"/>
          <w:szCs w:val="24"/>
          <w:lang w:val="zh-CN"/>
        </w:rPr>
        <w:t>比选申请人资格证明文件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2、提供具有良好的商业信誉承诺书及20</w:t>
      </w:r>
      <w:r>
        <w:rPr>
          <w:rFonts w:hint="eastAsia" w:ascii="Times New Roman" w:hAnsi="Times New Roman"/>
          <w:kern w:val="0"/>
          <w:sz w:val="24"/>
          <w:szCs w:val="24"/>
          <w:lang w:val="en-US" w:eastAsia="zh-CN"/>
        </w:rPr>
        <w:t>21</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2</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3、提供具有履行合同所必须的设备和专业技术能力的承诺书。</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r>
        <w:rPr>
          <w:rFonts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5、提供参加本次比选采购活动前三年内，在经营活动中没有重大违法记录的承诺书（公司成立不足三年的从成立之日起算）。</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6、承诺与其他供应商之间，单位负责人不为同一人而且不存在直接控股、管理关系的承诺书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7</w:t>
      </w:r>
      <w:r>
        <w:rPr>
          <w:rFonts w:ascii="Times New Roman" w:hAnsi="Times New Roman"/>
          <w:kern w:val="0"/>
          <w:sz w:val="24"/>
          <w:szCs w:val="24"/>
          <w:lang w:val="zh-CN"/>
        </w:rPr>
        <w:t>、法定代表人/单位负责人授权委托书（法定代表人/单位负责人或自然人直接参与投标的除外）。</w:t>
      </w:r>
    </w:p>
    <w:p>
      <w:pPr>
        <w:pStyle w:val="2"/>
        <w:rPr>
          <w:rFonts w:hint="default" w:eastAsia="宋体"/>
          <w:lang w:val="en-US" w:eastAsia="zh-CN"/>
        </w:rPr>
      </w:pPr>
      <w:r>
        <w:rPr>
          <w:rFonts w:hint="eastAsia"/>
          <w:kern w:val="0"/>
          <w:sz w:val="24"/>
          <w:szCs w:val="24"/>
          <w:lang w:val="en-US" w:eastAsia="zh-CN"/>
        </w:rPr>
        <w:t>8、</w:t>
      </w:r>
      <w:r>
        <w:rPr>
          <w:rFonts w:hint="eastAsia" w:ascii="宋体" w:hAnsi="宋体" w:eastAsia="宋体" w:cs="宋体"/>
          <w:sz w:val="24"/>
          <w:szCs w:val="24"/>
          <w:lang w:val="en-US" w:eastAsia="zh-CN"/>
        </w:rPr>
        <w:t>生产厂家/上级代理商的证件，包括营业执照、授权书等。</w:t>
      </w:r>
    </w:p>
    <w:p>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kern w:val="0"/>
          <w:sz w:val="24"/>
          <w:szCs w:val="24"/>
          <w:lang w:val="zh-CN"/>
        </w:rPr>
        <w:t>五、</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3</w:t>
      </w:r>
      <w:r>
        <w:rPr>
          <w:rFonts w:ascii="Times New Roman" w:hAnsi="Times New Roman"/>
          <w:color w:val="auto"/>
          <w:sz w:val="24"/>
          <w:szCs w:val="24"/>
        </w:rPr>
        <w:t>年</w:t>
      </w:r>
      <w:r>
        <w:rPr>
          <w:rFonts w:hint="eastAsia" w:ascii="Times New Roman" w:hAnsi="Times New Roman"/>
          <w:color w:val="auto"/>
          <w:sz w:val="24"/>
          <w:szCs w:val="24"/>
          <w:lang w:val="en-US" w:eastAsia="zh-CN"/>
        </w:rPr>
        <w:t>7</w:t>
      </w:r>
      <w:r>
        <w:rPr>
          <w:rFonts w:ascii="Times New Roman" w:hAnsi="Times New Roman"/>
          <w:color w:val="auto"/>
          <w:sz w:val="24"/>
          <w:szCs w:val="24"/>
        </w:rPr>
        <w:t>月</w:t>
      </w:r>
      <w:r>
        <w:rPr>
          <w:rFonts w:hint="eastAsia" w:ascii="Times New Roman" w:hAnsi="Times New Roman"/>
          <w:color w:val="auto"/>
          <w:sz w:val="24"/>
          <w:szCs w:val="24"/>
          <w:lang w:val="en-US" w:eastAsia="zh-CN"/>
        </w:rPr>
        <w:t>6</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3</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7</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10</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lang w:eastAsia="zh-CN"/>
        </w:rPr>
        <w:t>六</w:t>
      </w:r>
      <w:r>
        <w:rPr>
          <w:rFonts w:hint="eastAsia" w:ascii="Times New Roman" w:hAnsi="Times New Roman"/>
          <w:b/>
          <w:bCs w:val="0"/>
          <w:color w:val="auto"/>
          <w:sz w:val="24"/>
          <w:szCs w:val="24"/>
        </w:rPr>
        <w:t>、</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3</w:t>
      </w:r>
      <w:r>
        <w:rPr>
          <w:rFonts w:ascii="Times New Roman" w:hAnsi="Times New Roman"/>
          <w:color w:val="auto"/>
          <w:sz w:val="24"/>
          <w:szCs w:val="24"/>
        </w:rPr>
        <w:t>年</w:t>
      </w:r>
      <w:r>
        <w:rPr>
          <w:rFonts w:hint="eastAsia" w:ascii="Times New Roman" w:hAnsi="Times New Roman"/>
          <w:color w:val="auto"/>
          <w:sz w:val="24"/>
          <w:szCs w:val="24"/>
          <w:lang w:val="en-US" w:eastAsia="zh-CN"/>
        </w:rPr>
        <w:t>7</w:t>
      </w:r>
      <w:r>
        <w:rPr>
          <w:rFonts w:ascii="Times New Roman" w:hAnsi="Times New Roman"/>
          <w:color w:val="auto"/>
          <w:sz w:val="24"/>
          <w:szCs w:val="24"/>
        </w:rPr>
        <w:t>月</w:t>
      </w:r>
      <w:r>
        <w:rPr>
          <w:rFonts w:hint="eastAsia" w:ascii="Times New Roman" w:hAnsi="Times New Roman"/>
          <w:color w:val="auto"/>
          <w:sz w:val="24"/>
          <w:szCs w:val="24"/>
          <w:lang w:val="en-US" w:eastAsia="zh-CN"/>
        </w:rPr>
        <w:t>13</w:t>
      </w:r>
      <w:r>
        <w:rPr>
          <w:rFonts w:ascii="Times New Roman" w:hAnsi="Times New Roman"/>
          <w:color w:val="auto"/>
          <w:sz w:val="24"/>
          <w:szCs w:val="24"/>
        </w:rPr>
        <w:t>日</w:t>
      </w:r>
      <w:r>
        <w:rPr>
          <w:rFonts w:hint="eastAsia" w:ascii="Times New Roman" w:hAnsi="Times New Roman"/>
          <w:color w:val="auto"/>
          <w:kern w:val="0"/>
          <w:sz w:val="24"/>
          <w:szCs w:val="24"/>
          <w:lang w:val="en-US" w:eastAsia="zh-CN"/>
        </w:rPr>
        <w:t>15：00</w:t>
      </w:r>
      <w:r>
        <w:rPr>
          <w:rFonts w:ascii="Times New Roman" w:hAnsi="Times New Roman"/>
          <w:color w:val="auto"/>
          <w:kern w:val="0"/>
          <w:sz w:val="24"/>
          <w:szCs w:val="24"/>
        </w:rPr>
        <w:t>（北京时间）。</w:t>
      </w:r>
    </w:p>
    <w:p>
      <w:pPr>
        <w:spacing w:line="440" w:lineRule="exact"/>
        <w:rPr>
          <w:rFonts w:hint="eastAsia" w:ascii="Times New Roman" w:hAnsi="Times New Roman" w:eastAsia="宋体"/>
          <w:b/>
          <w:color w:val="auto"/>
          <w:kern w:val="0"/>
          <w:sz w:val="24"/>
          <w:szCs w:val="24"/>
          <w:lang w:eastAsia="zh-CN"/>
        </w:rPr>
      </w:pPr>
      <w:r>
        <w:rPr>
          <w:rFonts w:hint="eastAsia" w:ascii="Times New Roman" w:hAnsi="Times New Roman"/>
          <w:b/>
          <w:bCs/>
          <w:color w:val="auto"/>
          <w:sz w:val="24"/>
          <w:szCs w:val="24"/>
          <w:lang w:eastAsia="zh-CN"/>
        </w:rPr>
        <w:t>七</w:t>
      </w:r>
      <w:r>
        <w:rPr>
          <w:rFonts w:hint="eastAsia" w:ascii="Times New Roman" w:hAnsi="Times New Roman"/>
          <w:b/>
          <w:bCs/>
          <w:color w:val="auto"/>
          <w:sz w:val="24"/>
          <w:szCs w:val="24"/>
        </w:rPr>
        <w:t>、</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eastAsia="zh-CN"/>
        </w:rPr>
        <w:t>二</w:t>
      </w:r>
      <w:r>
        <w:rPr>
          <w:rFonts w:hint="eastAsia" w:ascii="Times New Roman" w:hAnsi="Times New Roman"/>
          <w:b w:val="0"/>
          <w:bCs/>
          <w:color w:val="auto"/>
          <w:sz w:val="24"/>
          <w:szCs w:val="24"/>
        </w:rPr>
        <w:t>楼会议室</w:t>
      </w:r>
      <w:r>
        <w:rPr>
          <w:rFonts w:hint="eastAsia" w:ascii="Times New Roman" w:hAnsi="Times New Roman"/>
          <w:b w:val="0"/>
          <w:bCs/>
          <w:color w:val="auto"/>
          <w:sz w:val="24"/>
          <w:szCs w:val="24"/>
          <w:lang w:eastAsia="zh-CN"/>
        </w:rPr>
        <w:t>，现场递交。</w:t>
      </w:r>
    </w:p>
    <w:p>
      <w:pPr>
        <w:spacing w:line="440" w:lineRule="exact"/>
        <w:rPr>
          <w:rFonts w:ascii="Times New Roman" w:hAnsi="Times New Roman"/>
          <w:color w:val="auto"/>
          <w:kern w:val="0"/>
          <w:sz w:val="24"/>
          <w:szCs w:val="24"/>
        </w:rPr>
      </w:pP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hint="eastAsia" w:ascii="Times New Roman" w:hAnsi="Times New Roman"/>
          <w:color w:val="auto"/>
          <w:kern w:val="0"/>
          <w:sz w:val="24"/>
          <w:szCs w:val="24"/>
          <w:lang w:eastAsia="zh-CN"/>
        </w:rPr>
        <w:t>，</w:t>
      </w:r>
      <w:r>
        <w:rPr>
          <w:rFonts w:ascii="Times New Roman" w:hAnsi="Times New Roman"/>
          <w:color w:val="auto"/>
          <w:kern w:val="0"/>
          <w:sz w:val="24"/>
          <w:szCs w:val="24"/>
        </w:rPr>
        <w:t>逾期送达或密封和标注不符合比选邀请文件规定的响应文件恕不接受。</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lang w:eastAsia="zh-CN"/>
        </w:rPr>
        <w:t>八</w:t>
      </w:r>
      <w:r>
        <w:rPr>
          <w:rFonts w:hint="eastAsia" w:ascii="Times New Roman" w:hAnsi="Times New Roman"/>
          <w:b/>
          <w:color w:val="auto"/>
          <w:kern w:val="0"/>
          <w:sz w:val="24"/>
          <w:szCs w:val="24"/>
        </w:rPr>
        <w:t>、</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3</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7</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13</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5：00</w:t>
      </w:r>
      <w:r>
        <w:rPr>
          <w:rFonts w:ascii="Times New Roman" w:hAnsi="Times New Roman"/>
          <w:b w:val="0"/>
          <w:bCs/>
          <w:color w:val="auto"/>
          <w:kern w:val="0"/>
          <w:sz w:val="24"/>
          <w:szCs w:val="24"/>
        </w:rPr>
        <w:t>（北京时间）。</w:t>
      </w:r>
    </w:p>
    <w:p>
      <w:pPr>
        <w:spacing w:line="440" w:lineRule="exact"/>
        <w:rPr>
          <w:rFonts w:hint="eastAsia" w:ascii="Times New Roman" w:hAnsi="Times New Roman" w:eastAsia="宋体"/>
          <w:b/>
          <w:color w:val="auto"/>
          <w:kern w:val="0"/>
          <w:sz w:val="24"/>
          <w:szCs w:val="24"/>
          <w:lang w:eastAsia="zh-CN"/>
        </w:rPr>
      </w:pPr>
      <w:r>
        <w:rPr>
          <w:rFonts w:hint="eastAsia" w:ascii="Times New Roman" w:hAnsi="Times New Roman"/>
          <w:b/>
          <w:color w:val="auto"/>
          <w:kern w:val="0"/>
          <w:sz w:val="24"/>
          <w:szCs w:val="24"/>
          <w:lang w:eastAsia="zh-CN"/>
        </w:rPr>
        <w:t>九</w:t>
      </w:r>
      <w:r>
        <w:rPr>
          <w:rFonts w:hint="eastAsia" w:ascii="Times New Roman" w:hAnsi="Times New Roman"/>
          <w:b/>
          <w:color w:val="auto"/>
          <w:kern w:val="0"/>
          <w:sz w:val="24"/>
          <w:szCs w:val="24"/>
        </w:rPr>
        <w:t>、</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eastAsia="zh-CN"/>
        </w:rPr>
        <w:t>二</w:t>
      </w:r>
      <w:r>
        <w:rPr>
          <w:rFonts w:hint="eastAsia" w:ascii="Times New Roman" w:hAnsi="Times New Roman"/>
          <w:b w:val="0"/>
          <w:bCs/>
          <w:color w:val="auto"/>
          <w:sz w:val="24"/>
          <w:szCs w:val="24"/>
        </w:rPr>
        <w:t>楼会议室</w:t>
      </w:r>
      <w:r>
        <w:rPr>
          <w:rFonts w:hint="eastAsia" w:ascii="Times New Roman" w:hAnsi="Times New Roman"/>
          <w:b w:val="0"/>
          <w:bCs/>
          <w:color w:val="auto"/>
          <w:sz w:val="24"/>
          <w:szCs w:val="24"/>
          <w:lang w:eastAsia="zh-CN"/>
        </w:rPr>
        <w:t>。</w:t>
      </w:r>
    </w:p>
    <w:p>
      <w:pPr>
        <w:pageBreakBefore w:val="0"/>
        <w:kinsoku/>
        <w:wordWrap/>
        <w:overflowPunct/>
        <w:topLinePunct w:val="0"/>
        <w:bidi w:val="0"/>
        <w:snapToGrid/>
        <w:spacing w:line="400" w:lineRule="exact"/>
        <w:textAlignment w:val="auto"/>
        <w:rPr>
          <w:rFonts w:hint="eastAsia" w:ascii="Times New Roman" w:hAnsi="Times New Roman" w:eastAsia="宋体"/>
          <w:b/>
          <w:kern w:val="0"/>
          <w:sz w:val="24"/>
          <w:szCs w:val="24"/>
          <w:lang w:eastAsia="zh-CN"/>
        </w:rPr>
      </w:pPr>
      <w:r>
        <w:rPr>
          <w:rFonts w:hint="eastAsia" w:ascii="Times New Roman" w:hAnsi="Times New Roman"/>
          <w:b/>
          <w:color w:val="auto"/>
          <w:kern w:val="0"/>
          <w:sz w:val="24"/>
          <w:szCs w:val="24"/>
          <w:lang w:eastAsia="zh-CN"/>
        </w:rPr>
        <w:t>十</w:t>
      </w:r>
      <w:r>
        <w:rPr>
          <w:rFonts w:hint="eastAsia" w:ascii="Times New Roman" w:hAnsi="Times New Roman"/>
          <w:b/>
          <w:color w:val="auto"/>
          <w:kern w:val="0"/>
          <w:sz w:val="24"/>
          <w:szCs w:val="24"/>
        </w:rPr>
        <w:t>、</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以公告形式发布</w:t>
      </w:r>
      <w:r>
        <w:rPr>
          <w:rFonts w:hint="eastAsia" w:ascii="Times New Roman" w:hAnsi="Times New Roman"/>
          <w:b/>
          <w:bCs/>
          <w:color w:val="auto"/>
          <w:sz w:val="24"/>
          <w:szCs w:val="24"/>
          <w:lang w:eastAsia="zh-CN"/>
        </w:rPr>
        <w:t>。</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十一、</w:t>
      </w:r>
      <w:r>
        <w:rPr>
          <w:rFonts w:ascii="Times New Roman" w:hAnsi="Times New Roman"/>
          <w:b/>
          <w:bCs/>
          <w:sz w:val="24"/>
          <w:szCs w:val="24"/>
        </w:rPr>
        <w:t>联系方式</w:t>
      </w:r>
    </w:p>
    <w:p>
      <w:pPr>
        <w:pageBreakBefore w:val="0"/>
        <w:tabs>
          <w:tab w:val="left" w:pos="2310"/>
        </w:tabs>
        <w:kinsoku/>
        <w:wordWrap/>
        <w:overflowPunct/>
        <w:topLinePunct w:val="0"/>
        <w:bidi w:val="0"/>
        <w:snapToGrid/>
        <w:spacing w:line="400" w:lineRule="exact"/>
        <w:ind w:left="560" w:right="420" w:rightChars="200"/>
        <w:textAlignment w:val="auto"/>
        <w:rPr>
          <w:rFonts w:ascii="Times New Roman" w:hAnsi="Times New Roman"/>
          <w:sz w:val="24"/>
          <w:szCs w:val="24"/>
        </w:rPr>
      </w:pPr>
      <w:r>
        <w:rPr>
          <w:rFonts w:hint="eastAsia" w:ascii="Times New Roman" w:hAnsi="Times New Roman"/>
          <w:sz w:val="24"/>
          <w:szCs w:val="24"/>
        </w:rPr>
        <w:t>采购</w:t>
      </w:r>
      <w:r>
        <w:rPr>
          <w:rFonts w:ascii="Times New Roman" w:hAnsi="Times New Roman"/>
          <w:sz w:val="24"/>
          <w:szCs w:val="24"/>
        </w:rPr>
        <w:t>人：</w:t>
      </w:r>
      <w:r>
        <w:rPr>
          <w:rFonts w:hint="eastAsia" w:ascii="Times New Roman" w:hAnsi="Times New Roman"/>
          <w:sz w:val="24"/>
          <w:szCs w:val="24"/>
        </w:rPr>
        <w:t>三台县人民医院</w:t>
      </w:r>
    </w:p>
    <w:p>
      <w:pPr>
        <w:pStyle w:val="43"/>
        <w:pageBreakBefore w:val="0"/>
        <w:kinsoku/>
        <w:wordWrap/>
        <w:overflowPunct/>
        <w:topLinePunct w:val="0"/>
        <w:bidi w:val="0"/>
        <w:snapToGrid/>
        <w:spacing w:line="400" w:lineRule="exact"/>
        <w:ind w:left="560" w:firstLine="0" w:firstLineChars="0"/>
        <w:contextualSpacing/>
        <w:textAlignment w:val="auto"/>
        <w:rPr>
          <w:sz w:val="24"/>
          <w:szCs w:val="24"/>
        </w:rPr>
      </w:pPr>
      <w:r>
        <w:rPr>
          <w:sz w:val="24"/>
          <w:szCs w:val="24"/>
        </w:rPr>
        <w:t>地  址：</w:t>
      </w:r>
      <w:r>
        <w:rPr>
          <w:rFonts w:hint="eastAsia"/>
          <w:sz w:val="24"/>
          <w:szCs w:val="24"/>
        </w:rPr>
        <w:t>三台县潼川镇解放下街139号</w:t>
      </w:r>
    </w:p>
    <w:p>
      <w:pPr>
        <w:pStyle w:val="43"/>
        <w:pageBreakBefore w:val="0"/>
        <w:kinsoku/>
        <w:wordWrap/>
        <w:overflowPunct/>
        <w:topLinePunct w:val="0"/>
        <w:bidi w:val="0"/>
        <w:snapToGrid/>
        <w:spacing w:line="400" w:lineRule="exact"/>
        <w:ind w:left="560" w:firstLine="0" w:firstLineChars="0"/>
        <w:contextualSpacing/>
        <w:textAlignment w:val="auto"/>
        <w:rPr>
          <w:sz w:val="24"/>
          <w:szCs w:val="24"/>
        </w:rPr>
      </w:pPr>
      <w:r>
        <w:rPr>
          <w:sz w:val="24"/>
          <w:szCs w:val="24"/>
        </w:rPr>
        <w:t>联系人：</w:t>
      </w:r>
      <w:r>
        <w:rPr>
          <w:rFonts w:hint="eastAsia"/>
          <w:sz w:val="24"/>
          <w:szCs w:val="24"/>
        </w:rPr>
        <w:t>张老师</w:t>
      </w:r>
      <w:r>
        <w:rPr>
          <w:rFonts w:hint="eastAsia"/>
          <w:sz w:val="24"/>
          <w:szCs w:val="24"/>
          <w:lang w:val="en-US" w:eastAsia="zh-CN"/>
        </w:rPr>
        <w:t xml:space="preserve">     </w:t>
      </w:r>
      <w:r>
        <w:rPr>
          <w:sz w:val="24"/>
          <w:szCs w:val="24"/>
        </w:rPr>
        <w:t>电  话：</w:t>
      </w:r>
      <w:r>
        <w:rPr>
          <w:rFonts w:hint="eastAsia"/>
          <w:sz w:val="24"/>
          <w:szCs w:val="24"/>
          <w:lang w:val="en-US" w:eastAsia="zh-CN"/>
        </w:rPr>
        <w:t>0816</w:t>
      </w:r>
      <w:r>
        <w:rPr>
          <w:sz w:val="24"/>
          <w:szCs w:val="24"/>
        </w:rPr>
        <w:t>-</w:t>
      </w:r>
      <w:r>
        <w:rPr>
          <w:rFonts w:hint="eastAsia"/>
          <w:sz w:val="24"/>
          <w:szCs w:val="24"/>
        </w:rPr>
        <w:t>5222252</w:t>
      </w:r>
      <w:bookmarkStart w:id="1" w:name="_Toc52036323"/>
      <w:bookmarkStart w:id="2" w:name="_Toc418004672"/>
      <w:bookmarkStart w:id="3" w:name="_Toc520455380"/>
      <w:r>
        <w:rPr>
          <w:sz w:val="24"/>
          <w:szCs w:val="24"/>
        </w:rPr>
        <w:t xml:space="preserve"> </w:t>
      </w:r>
      <w:bookmarkEnd w:id="1"/>
      <w:bookmarkEnd w:id="2"/>
      <w:bookmarkEnd w:id="3"/>
      <w:bookmarkStart w:id="4" w:name="_Toc52036324"/>
    </w:p>
    <w:p>
      <w:pPr>
        <w:rPr>
          <w:sz w:val="24"/>
          <w:szCs w:val="24"/>
        </w:rPr>
      </w:pPr>
      <w:r>
        <w:rPr>
          <w:sz w:val="24"/>
          <w:szCs w:val="24"/>
        </w:rPr>
        <w:br w:type="page"/>
      </w:r>
    </w:p>
    <w:p>
      <w:pPr>
        <w:widowControl/>
        <w:spacing w:line="360" w:lineRule="auto"/>
        <w:jc w:val="center"/>
        <w:rPr>
          <w:rFonts w:ascii="Times New Roman" w:hAnsi="Times New Roman"/>
          <w:b/>
          <w:kern w:val="0"/>
          <w:sz w:val="24"/>
          <w:szCs w:val="28"/>
        </w:rPr>
      </w:pPr>
      <w:r>
        <w:rPr>
          <w:rFonts w:ascii="Times New Roman" w:hAnsi="Times New Roman"/>
          <w:b/>
          <w:sz w:val="32"/>
          <w:szCs w:val="32"/>
        </w:rPr>
        <w:t>第</w:t>
      </w:r>
      <w:r>
        <w:rPr>
          <w:rFonts w:hint="eastAsia" w:ascii="Times New Roman" w:hAnsi="Times New Roman"/>
          <w:b/>
          <w:sz w:val="32"/>
          <w:szCs w:val="32"/>
        </w:rPr>
        <w:t>二</w:t>
      </w:r>
      <w:r>
        <w:rPr>
          <w:rFonts w:ascii="Times New Roman" w:hAnsi="Times New Roman"/>
          <w:b/>
          <w:sz w:val="32"/>
          <w:szCs w:val="32"/>
        </w:rPr>
        <w:t>章  比选项目技术、服务、及其他商务要求</w:t>
      </w:r>
      <w:bookmarkEnd w:id="4"/>
    </w:p>
    <w:p>
      <w:pPr>
        <w:spacing w:line="360" w:lineRule="auto"/>
        <w:rPr>
          <w:rFonts w:hint="eastAsia" w:asciiTheme="minorEastAsia" w:hAnsiTheme="minorEastAsia" w:eastAsiaTheme="minorEastAsia"/>
          <w:b/>
          <w:kern w:val="0"/>
          <w:sz w:val="28"/>
          <w:szCs w:val="28"/>
          <w:lang w:eastAsia="zh-CN"/>
        </w:rPr>
      </w:pPr>
      <w:r>
        <w:rPr>
          <w:rFonts w:hint="eastAsia" w:asciiTheme="minorEastAsia" w:hAnsiTheme="minorEastAsia" w:eastAsiaTheme="minorEastAsia"/>
          <w:b/>
          <w:kern w:val="0"/>
          <w:sz w:val="28"/>
          <w:szCs w:val="28"/>
          <w:lang w:eastAsia="zh-CN"/>
        </w:rPr>
        <w:t>一、技术参数及要求</w:t>
      </w:r>
      <w:bookmarkStart w:id="5" w:name="_Toc350964160"/>
      <w:bookmarkStart w:id="6" w:name="_Toc233048245"/>
    </w:p>
    <w:tbl>
      <w:tblPr>
        <w:tblStyle w:val="21"/>
        <w:tblW w:w="9930" w:type="dxa"/>
        <w:tblInd w:w="-3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5"/>
        <w:gridCol w:w="1155"/>
        <w:gridCol w:w="720"/>
        <w:gridCol w:w="6255"/>
        <w:gridCol w:w="8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模型类型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6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0" w:hRule="atLeast"/>
        </w:trPr>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切开、缝合</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1.可以反复进行数百次缝合练习。</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2.可自行在任何部位进行切开缝合练习。</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3.可进行拆线术练习。</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4.缝合练习模块，附底座。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结扎止血（表面出血结扎止血）</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1.具有皮肤和皮下组吸织，分层清晰，组织张力和弹性真实。</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2.提供手术器械，可进行外科皮肤切开、血管分离、打结、结扎、止血、剪线、缝合、拆线等级外科操作训练。</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3.有粗、细血管可反复进行多次分离结扎止血练习。</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4.模块废弃后可更换。</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5.可用模拟血液注入管路内，模拟近似真实的血管。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3"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打结</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1.由透明有机玻璃材料制成，便于训练者观察以及评估操作能力，设计独特，三种不同型号圆柱构成多种打结空间。</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2.采用独特的磁力系统模拟不同大小的组织拉力，拉力过大可引起报警。</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3.模拟血管富有弹性，操作时真实感强，更换方便。</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4.特殊的凹槽设置，安装容易，拆卸方便。</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5.可练习的打结方法：单手打结法，双手打结法，器械打结法。</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6.可练习的打结种类：单结、方结、三重结或多重结、外科结以及辨认假结，滑结。</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7.可模拟多种打结环境：外科结小切口打结，腹腔、盆腔深部打结，大切口深部有角度打结等。</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3"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体表肿物</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切除</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1.模块有两个病变，包括蜂窝组织炎以及脓肿，供辨别诊断(鉴别诊断)</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2.可进行脓肿切开，切开后可观察内有两个窦道以及不同形状的脓液，状态逼真</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3.进行术后伤口处理的练习</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7"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开关腹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1.模拟腹壁的三层基本解剖结构。</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2.下方的气球使腹壁垫处于紧张状态，模拟腹腔内环绕的肠管。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带样品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4"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脓肿切开</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引流</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1.模块有两个病变，包括蜂窝组织炎以及脓肿，供辨别诊断(鉴别诊断)</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2.可进行脓肿切开，切开后可观察内有两个窦道以及不同形状的脓液，状态逼真</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3.进行术后伤口处理的练习</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7"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胸腔闭式</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引流</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1.模型为男性半身结构，具有解剖学特征，体表标志明显，包括锁骨，胸骨上切迹，胸骨角、肋骨、和肋间隙等解剖结构</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2.正确的解剖标记，用来帮助定位训练。</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3.可进行胸部创伤后气胸和液胸的闭式引流操作训练以及引流管的术后护理练习。</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4.右侧胸廓有两个视窗，用来显示胸腔各层的解剖结构。</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5.左侧胸廓可进行气胸穿刺减压，提供双侧锁骨中线第二肋骨间隙或腋中线第五肋骨间隙，进行胸穿减压训练，以排出气体。</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6.左侧胸廓可进行液气胸穿刺闭式引流练习和进行胸腔穿刺练习，穿刺成功可有黄色液体流出</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7.可对气胸穿刺垫进行气囊加压充气。可调节气体流出，使气囊减压</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8.可以进行胸腔穿刺引流训练，配有引流瓶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8"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肠管吻合</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模型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1.模型采用高分子材料，超强的韧性及弹性</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2.近似真实的双层肠管模型是学习、训练肠吻合术技巧的理想选择</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3.模拟有粘膜层和浆膜层的肠管，适合演练各种肠吻合技术，如肠管的切开，分层缝合、打结、拆线等相关技能的训练</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7"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术前无菌手术训练及手术切口设计训练模型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1.提供多个标准手术切口，可以用于练习和提高各种伤口的护理、清洗、换药、包扎等基本技术。</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2.切口包括：</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3.甲状腺切除术</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4.胸骨正中切口伴胸腔引流管（2根）</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5.右侧乳房切除术伴导管引流术</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6.右侧胆囊切除术伴T管引流</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7.剖腹探察术</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8.右侧阑尾切除术</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9.右侧结肠造口术（人工肛门）</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10.右侧回肠造口术</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11.腹部子宫切除术（横切口）</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12.左侧胸廓切开术</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13.右侧肾切除术（斜切口）</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14.背部椎板切除术</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15.骶骨压疮（褥疮）溃疡，第II期</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16.右侧大腿截肢残端</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17.右侧腋窝腋臭手术切口（横形缝合）</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18.乳房脓肿切口（放射状或弧形切口）</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19.气胸置管引流</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20.耻骨上膀胱造瘘术</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21.腹股沟斜疝切除术</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22.股动脉穿刺切口</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6" w:hRule="atLeast"/>
        </w:trPr>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甲状腺检查模型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1.模型为男性上半身模型，有正确的坐位操作体位。</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2.该模型具有正常甲状腺解剖位置结构，包括甲状软骨、气管、甲状腺侧叶和甲状腺峡部。</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3.在右侧甲状腺侧叶可触摸到软组织（甲状腺），大约15～20mm大小结节。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94"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胸腔穿刺</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1.模型为男性半身结构，具有解剖学特征，体表标志明显，包括锁骨，胸骨上切迹，胸骨角、肋骨、和肋间隙等解剖结构</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2.正确的解剖标记，用来帮助定位训练。</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3.可进行胸部创伤后气胸和液胸的闭式引流操作训练以及引流管的术后护理练习。</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4.右侧胸廓有两个视窗，用来显示胸腔各层的解剖结构。</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5.左侧胸廓可进行气胸穿刺减压，提供双侧锁骨中线第二肋骨间隙或腋中线第五肋骨间隙，进行胸穿减压训练，以排出气体。</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6.左侧胸廓可进行液气胸穿刺闭式引流练习和进行胸腔穿刺练习，穿刺成功可有黄色液体流出</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7.可对气胸穿刺垫进行气囊加压充气。可调节气体流出，使气囊减压</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配套有胸腔穿刺引流流程训练考核软件。模型表面具有交互感应位置，对此位置通过手持平板终端进行扫描感应。自动下载交互软件。软件内容为胸腔穿刺，通过交互式的选择，用动画形式教学技能训练准备。软件内提供五例以上的病例，含病人资料，既往史，影像学检查资料信息。软件显示患者生命体征，包括（血压、脉搏、体温值）</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★9.软件内显示人体解剖图显示穿刺部位进针位置。</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★10.软件内提供器械图库，供训练者进行选择，选择正确错误与否具有提示。可以交互的对每一步操作进行选择，自动进行正确与否的判断，并统计成绩。</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软件可以设置考核模式、训练模式。其中训练模式操作错误有详细提示引导学生进行练习操作。成绩单可以进行无线打印。支持医学技能操作数据统计及分析，支持建立大数据模型。兼容OSCE考试系统，自主训练评估考核系统，可实现流程考核数据的交换。</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★12.可统计参加学习学生总人数、完成学习人数、总学习时长，可图形化显示完课率。</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★13.可导出每个学员学习进程包括：每章节开始学习时间、完成学习时间、总学习时长。</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★14.学习过程可设置完成条件，至少学习多少时间。过程采用倒计时方式显示，未达到指定学习时长无法完成学习任务。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3"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腹腔穿刺</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1.质地柔软，触感真实，外观形象逼真。</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2.解剖位置准确：有锁骨、锁骨肩峰端、锁骨胸骨端、胸锁乳突肌锁骨头、胸锁乳突肌胸骨头、肋骨、肋间隙、胸骨上窝、锁骨中线、腋前线、腋中线、髂前上棘、髂嵴、脐、腹股沟韧带等，可明显感知。</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3.可方便固定和改变体位，如平卧、侧卧位和坐位等</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4.可进行腹部移动性浊音叩诊、腹部穿刺操作、股静脉穿刺，穿刺成功时有明显落空感，并可抽出模拟腹腔积水。</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5.可进行无菌操作流程练习</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6.从左下腹部脐与髂前上棘连线中外1／3交点穿刺，穿刺有明显落空感，可抽出模拟腹腔积液。</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3"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骨穿</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1.仿真标准化病人取平卧位。</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2.解剖标志准确：胸骨上切迹.胸骨柄上缘.髂前上棘等可明显触知，便于穿刺定位；</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3.可行髂前上棘穿刺术训练.胸骨柄穿刺术训练，刺透模拟骨髓腔有明显落空感，并可抽取骨髓</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3"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腰穿</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1.模拟人取侧卧位.腰部.腿部形象逼真，手感真实。可调整躯干呈弓状.腿部可活动。</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2.腰部解剖结构准确，体征标志明显。</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3.可模拟腰椎穿刺的真实情节，进针至黄韧带时有阻力，穿透黄韧带有落空感，进针入硬膜外腔时，有负压产生进针入蛛网膜下腔时有模拟脑脊液流出</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4.可用于以下操作：腰椎穿刺，硬膜外阻滞，腰部麻醉，尾神经阻滞，骶神经阻滞，腰交感神经阻滞</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模型表面具有交互感应位置，对此位置通过手持平板终端进行扫描感应。自动下载交互软件。软件内容为胸腔穿刺和腰椎穿刺，通过交互式的选择，用动画形式教学技能训练准备。软件内提供五例以上的病例，含病人资料，既往史，影像学检查资料信息。软件显示患者生命体征，包括（血压、脉搏、体温值）。</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★6.软件内显示人体解剖图显示穿刺部位进针位置。软件内提供器械图库，供训练者进行选择，选择正确错误与否具有提示。</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★7.可以交互的对每一步操作进行选择，自动进行正确与否的判断，并统计成绩。软件可以设置考核模式、训练模式。其中训练模式操作错误有详细提示引导学生进行练习操作。</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★8.成绩单可以进行无线打印。支持医学技能操作数据统计及分析，支持建立大数据模型。兼容OSCE考试系统，自主训练评估考核系统，可实现流程考核数据的交换。</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9" w:hRule="atLeast"/>
        </w:trPr>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妇产科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阴道后穹窿穿刺</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1.子宫直肠陷凹血囊，直肠水囊是一个囊性结构，其上连接了两根引流管，用于往内注入液体。</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2.本仿真模型采用优质材料制成，解剖位置准确，皮肤柔软有弹性，手感逼真，病变组织真实。</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3.由外皮、固定腹腔脏器、子宫、子宫直肠凹血囊、阴道、直肠水囊、支架组成</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4.外皮套在整个模型的外部，固定腹腔脏器的装置用于将各功能脏器固定在它们各自的位置上</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5.子宫直肠陷凹水囊、直肠水囊、子宫、阴道四个部分镶嵌在固定腹腔脏器装置内。</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6.支架用于托起整个模型，保持模型臀部抬高，便于操作</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7.于子宫颈阴道粘膜交界下方1cm处的后穹窿正中、与宫颈管平行方向刺入（用7号穿刺针），将有淡红色液体抽出。示穿刺术质量达标。</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8.操作者未按操作常规穿刺，如刺入直肠，将抽出黄色液体，为操作失败。</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9.操作者未按操作常规进针，盲目地向两侧刺入，伤及周围器官示穿刺术失败。</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10.后穹窿穿刺模块：共3块，模型内模块已经注入模拟血液，另外备用2块模块为空的，需要注入液体可更换使用。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2"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盆腔检查</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1.该模型为成年女性躯干下半部由腹腔、盆腔二部分组成。</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2.正常和各类异常子宫触诊。</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3.妇科双合诊、三合诊的检查。</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4.阴道窥器和阴道镜的检查。</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5.肉眼观察正常和各类异常病变宫颈。</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6.宫内节育器的放置与取出。</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7.观察隔膜的大小和位置。</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8.观察子宫、卵巢、输卵管、圆韧带和其它位于盆腔的解剖结构。</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9.可更换宫颈模型11个和子宫和附件模型9个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2"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放取环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1.可显示阴道、子宫、卵巢等解剖结构，被透明塑料窗覆盖</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2.造型逼真的模型可模拟训练和演示宫内避孕器的置入和取出。</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3.半透明的子宫可以清楚观察宫内避孕器的安放过程。</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4.正常和异常的子宫位置，可以演示前倾和后倾位置状态。</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6" w:hRule="atLeast"/>
        </w:trPr>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急诊科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气管插管（COVID-19综合技能训练模型：鼻咽拭子采集、气管插管、环甲模穿刺，可经口经鼻腔、带模拟肺）</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1.高级鼻咽拭子训练模型用于助力抗击新型冠状病毒肺炎疫情进行核酸检测采集的训练模型，提升医护人员及学员对采集流程的熟练度。</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2.模型为成年人上半身，形态逼真，感觉真实。</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3.头部可后仰，具有气管，富有弹性、柔软性，便于操作定位。</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4.可进行气管插管操作训练和教学演示。</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5.可进行口腔和鼻腔分泌物采集，咽拭子变色，代表采集正确。</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6.护理功能：洗脸、眼耳的滴药、清洗、口腔护理等。</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带样品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3"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创伤模型</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1.面部烧伤ⅠⅡⅢ度</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2.前额撕裂伤口</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3.颌骨创伤口</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4.锁骨开放性骨折与胸壁挫伤</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5.腹部创伤伴有小肠突露</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6.右上臂肱骨开放性骨折</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7.右手开放性骨折、软组织撕裂伤口、骨组织暴露</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8.右手掌枪弹伤口</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9.右大腿股骨开放性骨折</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10.左大腿复合型股骨骨折</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11.右大腿金属异物刺伤</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12.右小腿胫骨开放性骨折</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13.右足开放性骨折右小趾截断创伤</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14.左前臂烧伤ⅠⅡⅢ度</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15.左大腿截断创伤</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16.左小腿胫骨闭合性骨折以及踝关节和足挫伤</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17.胸壁切开缝合伤口</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18.腹壁切开缝合伤口</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19.大腿外伤切开缝合伤口</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20.大腿皮肤裂伤</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21.大腿感染性溃疡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22.足坏疽、第1、2、3足趾和足跟压疮</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23.上臂截肢伤口</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24.小腿截肢伤口</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9"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气管切开（带身体）（耳鼻喉科也需要）</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1.精细的解剖结构：咽、会厌、气管、食道及气管切开区、环状软骨、左右支气管树。</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2.气管切开护理练习。</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3.痰液抽吸练习</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4.经口腔吸引术练习。</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5.模拟练习气管套管的清洁和护理技术。</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带样品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简易型心肺复苏模型（半身型）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1.执行标准：心肺复苏(CPR)＆心血管急救(ECC)指南标准</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2.模拟标准气道开放显示；</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3.人工手位胸外按压指显示报警：</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4.按压位置正确，错误的指示灯显示，错误报警；</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5.按压强度正确（大于或等于5cm区域），错误（小于5cm区域）的指示灯显示及错误的报警；</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6.人工口对口呼吸（吹气）显示报警；</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7.吹入的潮气量≤500ml/600ml-1000ml≤的指示的灯显示及报警；</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8.吹入的潮气量在500ml/600ml-1000ml之间正确指示灯显示；</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9.吹入的潮气量过快或超大，造成气体进入胃部指示灯显示及报警；</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10.按压与人工呼吸比：30∶2（单人或者双人）；</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11.操作周期：2次有效人工吹气再按压与人工吹气30：2五个循环周期CPR操作；</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12.操作频率：最新国际标准：大于或等于100/分钟；</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13.操作模式：训练操作；</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14.检查瞳孔反应：模拟瞳孔由一只散大与一只缩小的比较认识；</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15.检查颈动脉反应：手捏压力皮球，模拟颈动脉搏动；</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16.电源状态：采用220V外接电源，经过稳压器稳压输出电源6V或采用四节1号电池的直流电源状态下工作，适应野外无电源地方训练。</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5" w:hRule="atLeast"/>
        </w:trPr>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吸痰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1.经鼻、口插入吸引管技术练习。</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2.吸引管和YanKen管可以插入鼻腔和口腔，可以模拟吸痰。</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3.吸引管可以插入到气管内，练习气管内吸引。</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4.脸部一侧打开，可以显示插入导管的位置。</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5.显示鼻腔口腔的解剖结构和颈部结构。</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6.模拟痰液可以放在口腔、鼻腔和气管内，增强练习插管技巧的真实效果。</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7.可与吸引器或负压吸引装置相配合进行模拟吸引痰液</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2"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男性导尿</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1.模型参照男性内外生殖器解剖结构设计，可练习会阴护理</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2.润滑过的导尿管可以通过尿道口插入尿道，进入膀胱。</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3.当导尿管进入膀胱时，人造尿液就会从导尿管口流出。</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4.导尿通过粘膜皱壁、尿道球部及尿道内括约肌时，学生将会体验到如同真人般的狭窄感，可以通过改变体位和阴茎的位置，使导管顺利插入。</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5.模型配有2处造瘘口，可进行造瘘引流术和造瘘口护理</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6.灌肠法：模型可摆放为侧卧位，进行保留灌肠和不保留灌肠</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7.臀部肌肉注射：注射模块可进行上百次穿刺，并有备用模块易更换</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8.大腿肌肉注射：注射模块可进行上百次穿刺，并有备用模块易更换</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9"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女性导尿</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1.模仿中年妇女的外生殖器的会阴，大腿处于外展位。</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2.模型包括膀胱、尿道、尿道括约肌等解剖结构。</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3.小阴唇可以向两旁分开以暴露阴蒂、尿道口及阴道口。</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3.当导尿管插入尿道，通过尿道括约肌进入膀胱时，有真实的阻力与压力。</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4.当导尿管进入膀胱时，模拟尿液将从导管中流出。</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5.可进行膀胱冲洗法操作练习。</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6.模型配有2处造瘘口，可进行造瘘引流术和造瘘口护理</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7.灌肠法：模型可摆放为侧卧位，进行保留灌肠和不保留灌肠</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8.臀部肌肉注射：注射模块可进行上百次穿刺，并有备用模块易更换</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9.大腿肌肉注射：注射模块可进行上百次穿刺，并有备用模块易更换</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8"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桡动脉穿刺手臂（麻醉科也需要）</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1.模型为手臂桡支脉，可进行动脉抽血、动脉注射或动脉输血等操作训练。</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2.用橡皮球气囊打气提供模拟的动脉搏动及真实的动脉血压。</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3.进针有明显落空感，穿刺方法正确时有明显的动脉回血产生。</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4.采用机械旋转式可移动桡动脉穿刺破损部位。</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5.手腕皮肤和动脉血管破损后可更换。</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静脉穿刺</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1.手臂上分布的多条主要静脉血管系统，如头静脉、贵要静脉</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2.可进行静脉的注射、输液（血）、抽血等穿刺训练功能。</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3.可进行三角肌部位的肌肉注射。</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4.上肢可旋转180度，可模仿真人手臂能转动，便于穿刺练习。</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5.进针有明显的落空感，正确穿刺有回血产生。</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6.静脉血管和皮肤的同一穿刺部位可以经受几百次反复穿刺且不渗漏。</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7.静脉血管和皮肤都可更换，简单方便，经济实用。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9"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注射术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1.该模块分为皮肤、皮下组织及肌肉层。</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2.可穿戴式设计，增加操作的真实感。</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3.三种操作功能：皮内注射、皮下注射、肌内注射。</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4.可用液体进行各种注射，使用后可将液体挤干。</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5.整箱配有多功能注射模块3个。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8"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中心静脉穿刺模型（麻醉科需要）</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1.解剖结构精确，与真人一般大小，有明显的体表标志，包括：胸骨上切迹、胸锁乳突肌、锁骨、右侧肋骨。逼真的血管结构，主要包括：颈内静脉及锁骨下静脉等。</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2.中心静脉穿刺插管：锁骨下静脉穿刺，颈内静脉穿刺。</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3.可进行心脏漂浮(Swan-Ganz)导管的插管练习。</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4.皮肤和静脉可更换，进针有明显的落空感。</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5.模拟颈动脉的搏动。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8" w:hRule="atLeast"/>
        </w:trPr>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灌肠</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1.模拟长期卧床病人或者年老无力的排便病人。</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2.可显示标准的灌肠体位。</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3.可以注射甘油进行灌肠（从腹部侧方的排液管流出）。</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4.腹壁可打开，可从透明的肠内看到灌肠导管的末端。</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5.将模拟粪便放入肠内，再用恰当的技巧进行人工取便。</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6.仿真人尺寸大小、解剖结构准确。</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7.模型结构便于拆装、清洗。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带样品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1"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眼冲洗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1.男性上半身模型，有正确的坐位操作体位。</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2.具有正常泪道解剖解构，包括泪小管、泪道、鼻泪管。泪小管可按照操作中的实际需要，随进针的角度变化而改变。</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3.可模拟练习泪道冲洗操作，冲洗操作正确，液体从鼻腔或口腔流出。可根据训练和考核需要，在模拟的泪小管中加入模拟脓液，进行泪道阻塞后的冲洗操作训练。</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5"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耳鼻咽喉科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头颈器官</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模型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该模型由头颈部正中矢状切面（左侧半块可向上移动）、颅顶、脑正中矢状切面、眼、左侧半胸锁乳突肌、三角肌、胸大肌、斜方肌、下颌骨、锁骨等19个部件组成，并显示头顶部正中矢状切面、颅顶、颅底、大脑半球、间脑、小脑和脑干各个部分，以及脑神经和脑血管等结构，共有190个部位指示标志。</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尺寸：自然大，高34cm，宽37cm，厚20.5cm</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材质：进口PVC材料、进口油漆、电脑配色、高级彩绘</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2"/>
                <w:szCs w:val="22"/>
                <w:u w:val="none"/>
                <w:lang w:val="en-US" w:eastAsia="zh-CN" w:bidi="ar"/>
              </w:rPr>
            </w:pPr>
          </w:p>
        </w:tc>
      </w:tr>
    </w:tbl>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cs="Times New Roman" w:asciiTheme="minorEastAsia" w:hAnsiTheme="minorEastAsia" w:eastAsiaTheme="minorEastAsia"/>
          <w:b/>
          <w:bCs/>
          <w:color w:val="auto"/>
          <w:kern w:val="2"/>
          <w:sz w:val="30"/>
          <w:szCs w:val="30"/>
          <w:lang w:val="en-US" w:eastAsia="zh-CN" w:bidi="ar-SA"/>
        </w:rPr>
      </w:pPr>
      <w:r>
        <w:rPr>
          <w:rFonts w:hint="eastAsia" w:cs="Times New Roman" w:asciiTheme="minorEastAsia" w:hAnsiTheme="minorEastAsia" w:eastAsiaTheme="minorEastAsia"/>
          <w:b/>
          <w:bCs/>
          <w:color w:val="auto"/>
          <w:kern w:val="2"/>
          <w:sz w:val="30"/>
          <w:szCs w:val="30"/>
          <w:lang w:val="en-US" w:eastAsia="zh-CN" w:bidi="ar-SA"/>
        </w:rPr>
        <w:t>二、商务要求</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1、签约地点及交货地点</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1.1合同签约地点：三台县人民医院。</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1.2配送及安装地址：比选人指定地点。</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1.3交货期：签订合同后</w:t>
      </w:r>
      <w: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t>10</w:t>
      </w:r>
      <w:r>
        <w:rPr>
          <w:rFonts w:hint="eastAsia" w:cs="Times New Roman" w:asciiTheme="minorEastAsia" w:hAnsiTheme="minorEastAsia" w:eastAsiaTheme="minorEastAsia"/>
          <w:color w:val="auto"/>
          <w:kern w:val="2"/>
          <w:sz w:val="24"/>
          <w:szCs w:val="24"/>
          <w:lang w:val="en-US" w:eastAsia="zh-CN" w:bidi="ar-SA"/>
        </w:rPr>
        <w:t>日内。</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2、质保期及售后服务要求</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2.1质保期≥1年。</w:t>
      </w:r>
      <w:bookmarkStart w:id="7" w:name="_Toc52036325"/>
      <w:bookmarkStart w:id="8" w:name="_Toc520455383"/>
      <w:r>
        <w:rPr>
          <w:rFonts w:hint="eastAsia" w:cs="Times New Roman" w:asciiTheme="minorEastAsia" w:hAnsiTheme="minorEastAsia" w:eastAsiaTheme="minorEastAsia"/>
          <w:color w:val="auto"/>
          <w:kern w:val="2"/>
          <w:sz w:val="24"/>
          <w:szCs w:val="24"/>
          <w:lang w:val="en-US" w:eastAsia="zh-CN" w:bidi="ar-SA"/>
        </w:rPr>
        <w:t>在质保期内，所有的配件费、人工费、差旅费、运输费、搬运费等所有费用均由供应商承担。</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2.2在质保期和免费维保期内，接到采购人报修通知后卖方响应时间≤2小时；提出解决方案≤12小时；维修人员到达现场时间≤48小时（不可抗力因素除外）。保修期内对采购人进行不少于1次的回访，了解用采购人产品的使用情况，及时解决有关问题。</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3、付款方法和条件</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t>3.1货到安装验收合格1个月内付合同总价的70% ，验收合格半年后1个月内付合同总价的20% ，验收合格一年后1个月内付合同总价10% 。</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3.2付款方式：转账、电汇等非现金方式。</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4、培训：负责产品安装、调试，确保正常运行，且负责操作人员的培训，直至操作人员对操作技术完全掌握为止，费用包含在总报价内。</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5、验收：按照比选文件服务要求、响应文件响应情况和国家、行业标准进行验收。</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imes New Roman" w:hAnsi="Times New Roman"/>
          <w:b/>
          <w:bCs/>
          <w:color w:val="000000" w:themeColor="text1"/>
          <w:kern w:val="0"/>
          <w:sz w:val="32"/>
          <w:szCs w:val="32"/>
          <w14:textFill>
            <w14:solidFill>
              <w14:schemeClr w14:val="tx1"/>
            </w14:solidFill>
          </w14:textFill>
        </w:rPr>
      </w:pPr>
      <w:r>
        <w:rPr>
          <w:rFonts w:hint="eastAsia" w:ascii="宋体" w:hAnsi="宋体" w:cs="宋体"/>
          <w:color w:val="auto"/>
          <w:sz w:val="28"/>
          <w:szCs w:val="28"/>
          <w:lang w:eastAsia="zh-CN"/>
        </w:rPr>
        <w:t>★</w:t>
      </w:r>
      <w:r>
        <w:rPr>
          <w:rFonts w:asciiTheme="minorEastAsia" w:hAnsiTheme="minorEastAsia" w:eastAsiaTheme="minorEastAsia"/>
          <w:b/>
          <w:color w:val="auto"/>
          <w:kern w:val="0"/>
          <w:sz w:val="24"/>
        </w:rPr>
        <w:t>注：</w:t>
      </w:r>
      <w:r>
        <w:rPr>
          <w:rFonts w:hint="eastAsia" w:ascii="宋体" w:hAnsi="宋体" w:cs="宋体"/>
          <w:color w:val="auto"/>
          <w:sz w:val="28"/>
          <w:szCs w:val="28"/>
          <w:lang w:eastAsia="zh-CN"/>
        </w:rPr>
        <w:t>★条款和</w:t>
      </w:r>
      <w:r>
        <w:rPr>
          <w:rFonts w:hint="eastAsia" w:asciiTheme="minorEastAsia" w:hAnsiTheme="minorEastAsia" w:eastAsiaTheme="minorEastAsia"/>
          <w:b/>
          <w:color w:val="auto"/>
          <w:kern w:val="0"/>
          <w:sz w:val="24"/>
        </w:rPr>
        <w:t>所有的</w:t>
      </w:r>
      <w:r>
        <w:rPr>
          <w:rFonts w:asciiTheme="minorEastAsia" w:hAnsiTheme="minorEastAsia" w:eastAsiaTheme="minorEastAsia"/>
          <w:b/>
          <w:color w:val="auto"/>
          <w:kern w:val="0"/>
          <w:sz w:val="24"/>
        </w:rPr>
        <w:t>商务要求均</w:t>
      </w:r>
      <w:r>
        <w:rPr>
          <w:rFonts w:asciiTheme="minorEastAsia" w:hAnsiTheme="minorEastAsia" w:eastAsiaTheme="minorEastAsia"/>
          <w:b/>
          <w:bCs/>
          <w:color w:val="auto"/>
          <w:kern w:val="0"/>
          <w:sz w:val="24"/>
        </w:rPr>
        <w:t>为实质性要求，负偏离</w:t>
      </w:r>
      <w:r>
        <w:rPr>
          <w:rFonts w:hint="eastAsia" w:asciiTheme="minorEastAsia" w:hAnsiTheme="minorEastAsia" w:eastAsiaTheme="minorEastAsia"/>
          <w:b/>
          <w:bCs/>
          <w:color w:val="auto"/>
          <w:kern w:val="0"/>
          <w:sz w:val="24"/>
          <w:lang w:eastAsia="zh-CN"/>
        </w:rPr>
        <w:t>则为</w:t>
      </w:r>
      <w:r>
        <w:rPr>
          <w:rFonts w:asciiTheme="minorEastAsia" w:hAnsiTheme="minorEastAsia" w:eastAsiaTheme="minorEastAsia"/>
          <w:b/>
          <w:bCs/>
          <w:color w:val="auto"/>
          <w:kern w:val="0"/>
          <w:sz w:val="24"/>
        </w:rPr>
        <w:t>无效响应文件。</w:t>
      </w:r>
      <w:bookmarkStart w:id="9" w:name="_Toc520455385"/>
    </w:p>
    <w:p>
      <w:pPr>
        <w:rPr>
          <w:rFonts w:hint="eastAsia" w:ascii="Times New Roman" w:hAnsi="Times New Roman"/>
          <w:b/>
          <w:bCs/>
          <w:color w:val="auto"/>
          <w:kern w:val="0"/>
          <w:sz w:val="32"/>
          <w:szCs w:val="32"/>
        </w:rPr>
      </w:pPr>
      <w:r>
        <w:rPr>
          <w:rFonts w:hint="eastAsia" w:ascii="Times New Roman" w:hAnsi="Times New Roman"/>
          <w:b/>
          <w:bCs/>
          <w:color w:val="auto"/>
          <w:kern w:val="0"/>
          <w:sz w:val="32"/>
          <w:szCs w:val="32"/>
        </w:rPr>
        <w:br w:type="page"/>
      </w:r>
    </w:p>
    <w:p>
      <w:pPr>
        <w:spacing w:line="360" w:lineRule="auto"/>
        <w:jc w:val="center"/>
        <w:rPr>
          <w:rFonts w:ascii="Times New Roman" w:hAnsi="Times New Roman"/>
          <w:bCs/>
          <w:color w:val="auto"/>
          <w:kern w:val="0"/>
          <w:sz w:val="24"/>
          <w:szCs w:val="20"/>
        </w:rPr>
      </w:pPr>
      <w:r>
        <w:rPr>
          <w:rFonts w:hint="eastAsia" w:ascii="Times New Roman" w:hAnsi="Times New Roman"/>
          <w:b/>
          <w:bCs/>
          <w:color w:val="auto"/>
          <w:kern w:val="0"/>
          <w:sz w:val="32"/>
          <w:szCs w:val="32"/>
        </w:rPr>
        <w:t>第</w:t>
      </w:r>
      <w:r>
        <w:rPr>
          <w:rFonts w:hint="eastAsia" w:ascii="Times New Roman" w:hAnsi="Times New Roman"/>
          <w:b/>
          <w:bCs/>
          <w:color w:val="auto"/>
          <w:kern w:val="0"/>
          <w:sz w:val="32"/>
          <w:szCs w:val="32"/>
          <w:lang w:eastAsia="zh-CN"/>
        </w:rPr>
        <w:t>三</w:t>
      </w:r>
      <w:r>
        <w:rPr>
          <w:rFonts w:hint="eastAsia" w:ascii="Times New Roman" w:hAnsi="Times New Roman"/>
          <w:b/>
          <w:bCs/>
          <w:color w:val="auto"/>
          <w:kern w:val="0"/>
          <w:sz w:val="32"/>
          <w:szCs w:val="32"/>
        </w:rPr>
        <w:t>章 评标与定标</w:t>
      </w:r>
    </w:p>
    <w:p>
      <w:pPr>
        <w:widowControl/>
        <w:adjustRightInd w:val="0"/>
        <w:snapToGrid w:val="0"/>
        <w:spacing w:line="400" w:lineRule="exact"/>
        <w:ind w:firstLine="480" w:firstLineChars="200"/>
        <w:jc w:val="left"/>
        <w:rPr>
          <w:rFonts w:hint="eastAsia" w:ascii="Times New Roman" w:hAnsi="Times New Roman" w:eastAsia="宋体"/>
          <w:bCs/>
          <w:color w:val="auto"/>
          <w:kern w:val="0"/>
          <w:sz w:val="24"/>
          <w:szCs w:val="20"/>
          <w:lang w:eastAsia="zh-CN"/>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color w:val="auto"/>
          <w:kern w:val="0"/>
          <w:sz w:val="24"/>
          <w:szCs w:val="20"/>
          <w:lang w:eastAsia="zh-CN"/>
        </w:rPr>
        <w:t>，</w:t>
      </w:r>
      <w:r>
        <w:rPr>
          <w:rFonts w:hint="eastAsia" w:ascii="Times New Roman" w:hAnsi="Times New Roman"/>
          <w:b/>
          <w:bCs w:val="0"/>
          <w:color w:val="auto"/>
          <w:kern w:val="0"/>
          <w:sz w:val="24"/>
          <w:szCs w:val="20"/>
          <w:lang w:eastAsia="zh-CN"/>
        </w:rPr>
        <w:t>符合资格供应商不足</w:t>
      </w:r>
      <w:r>
        <w:rPr>
          <w:rFonts w:hint="eastAsia" w:ascii="Times New Roman" w:hAnsi="Times New Roman"/>
          <w:b/>
          <w:bCs w:val="0"/>
          <w:color w:val="auto"/>
          <w:kern w:val="0"/>
          <w:sz w:val="24"/>
          <w:szCs w:val="20"/>
          <w:lang w:val="en-US" w:eastAsia="zh-CN"/>
        </w:rPr>
        <w:t>3家，不予评审</w:t>
      </w:r>
      <w:r>
        <w:rPr>
          <w:rFonts w:hint="eastAsia" w:ascii="Times New Roman" w:hAnsi="Times New Roman"/>
          <w:b/>
          <w:bCs w:val="0"/>
          <w:color w:val="auto"/>
          <w:kern w:val="0"/>
          <w:sz w:val="24"/>
          <w:szCs w:val="20"/>
          <w:lang w:eastAsia="zh-CN"/>
        </w:rPr>
        <w:t>。</w:t>
      </w:r>
    </w:p>
    <w:p>
      <w:pPr>
        <w:widowControl/>
        <w:adjustRightInd w:val="0"/>
        <w:snapToGrid w:val="0"/>
        <w:spacing w:line="400" w:lineRule="exact"/>
        <w:ind w:firstLine="482" w:firstLineChars="200"/>
        <w:jc w:val="left"/>
        <w:rPr>
          <w:rFonts w:ascii="Times New Roman" w:hAnsi="Times New Roman"/>
          <w:b/>
          <w:bCs/>
          <w:color w:val="auto"/>
          <w:kern w:val="0"/>
          <w:sz w:val="24"/>
          <w:szCs w:val="20"/>
        </w:rPr>
      </w:pPr>
    </w:p>
    <w:p>
      <w:pPr>
        <w:widowControl/>
        <w:adjustRightInd w:val="0"/>
        <w:snapToGrid w:val="0"/>
        <w:spacing w:line="400" w:lineRule="exact"/>
        <w:jc w:val="left"/>
        <w:rPr>
          <w:rFonts w:ascii="Times New Roman" w:hAnsi="Times New Roman"/>
          <w:b/>
          <w:bCs/>
          <w:color w:val="auto"/>
          <w:kern w:val="0"/>
          <w:sz w:val="24"/>
          <w:szCs w:val="20"/>
        </w:rPr>
      </w:pPr>
      <w:r>
        <w:rPr>
          <w:rFonts w:ascii="Times New Roman" w:hAnsi="Times New Roman"/>
          <w:b/>
          <w:bCs/>
          <w:color w:val="auto"/>
          <w:kern w:val="0"/>
          <w:sz w:val="24"/>
          <w:szCs w:val="20"/>
        </w:rPr>
        <w:t>综合评分明细表</w:t>
      </w:r>
      <w:bookmarkEnd w:id="9"/>
    </w:p>
    <w:tbl>
      <w:tblPr>
        <w:tblStyle w:val="21"/>
        <w:tblW w:w="86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787"/>
        <w:gridCol w:w="668"/>
        <w:gridCol w:w="3105"/>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序号</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评分标准</w:t>
            </w:r>
          </w:p>
        </w:tc>
        <w:tc>
          <w:tcPr>
            <w:tcW w:w="241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41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48%</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48</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color w:val="auto"/>
                <w:sz w:val="24"/>
                <w:szCs w:val="24"/>
                <w:lang w:eastAsia="zh-CN"/>
              </w:rPr>
            </w:pPr>
            <w:r>
              <w:rPr>
                <w:rFonts w:hint="eastAsia" w:ascii="宋体" w:hAnsi="宋体"/>
                <w:color w:val="auto"/>
                <w:sz w:val="24"/>
                <w:szCs w:val="24"/>
              </w:rPr>
              <w:t>完全符合招标文件要求没有负偏离得</w:t>
            </w:r>
            <w:r>
              <w:rPr>
                <w:rFonts w:hint="eastAsia" w:ascii="宋体" w:hAnsi="宋体"/>
                <w:color w:val="auto"/>
                <w:sz w:val="24"/>
                <w:szCs w:val="24"/>
                <w:lang w:val="en-US" w:eastAsia="zh-CN"/>
              </w:rPr>
              <w:t>48</w:t>
            </w:r>
            <w:r>
              <w:rPr>
                <w:rFonts w:ascii="宋体" w:hAnsi="宋体"/>
                <w:color w:val="auto"/>
                <w:sz w:val="24"/>
                <w:szCs w:val="24"/>
              </w:rPr>
              <w:t>分；</w:t>
            </w:r>
            <w:r>
              <w:rPr>
                <w:rFonts w:hint="eastAsia" w:ascii="宋体" w:hAnsi="宋体"/>
                <w:color w:val="auto"/>
                <w:sz w:val="24"/>
                <w:szCs w:val="24"/>
                <w:lang w:eastAsia="zh-CN"/>
              </w:rPr>
              <w:t>每种模型得</w:t>
            </w:r>
            <w:r>
              <w:rPr>
                <w:rFonts w:hint="eastAsia" w:ascii="宋体" w:hAnsi="宋体"/>
                <w:color w:val="auto"/>
                <w:sz w:val="24"/>
                <w:szCs w:val="24"/>
                <w:lang w:val="en-US" w:eastAsia="zh-CN"/>
              </w:rPr>
              <w:t>1.5分，</w:t>
            </w:r>
            <w:r>
              <w:rPr>
                <w:rFonts w:ascii="宋体" w:hAnsi="宋体"/>
                <w:color w:val="auto"/>
                <w:sz w:val="24"/>
                <w:szCs w:val="24"/>
              </w:rPr>
              <w:t>一条不满足</w:t>
            </w:r>
            <w:r>
              <w:rPr>
                <w:rFonts w:hint="eastAsia" w:ascii="宋体" w:hAnsi="宋体"/>
                <w:color w:val="auto"/>
                <w:sz w:val="24"/>
                <w:szCs w:val="24"/>
                <w:lang w:eastAsia="zh-CN"/>
              </w:rPr>
              <w:t>按照改模型条款平均扣分</w:t>
            </w:r>
            <w:r>
              <w:rPr>
                <w:rFonts w:ascii="宋体" w:hAnsi="宋体"/>
                <w:color w:val="auto"/>
                <w:sz w:val="24"/>
                <w:szCs w:val="24"/>
              </w:rPr>
              <w:t>，扣完为止。</w:t>
            </w:r>
            <w:r>
              <w:rPr>
                <w:rFonts w:hint="eastAsia" w:ascii="宋体" w:hAnsi="宋体"/>
                <w:color w:val="auto"/>
                <w:sz w:val="24"/>
                <w:szCs w:val="24"/>
                <w:lang w:eastAsia="zh-CN"/>
              </w:rPr>
              <w:t>“</w:t>
            </w:r>
            <w:r>
              <w:rPr>
                <w:rFonts w:hint="eastAsia" w:ascii="宋体" w:hAnsi="宋体" w:eastAsia="宋体" w:cs="宋体"/>
                <w:b w:val="0"/>
                <w:bCs w:val="0"/>
                <w:color w:val="auto"/>
                <w:sz w:val="24"/>
                <w:szCs w:val="24"/>
                <w:lang w:eastAsia="zh-CN"/>
              </w:rPr>
              <w:t>★</w:t>
            </w:r>
            <w:r>
              <w:rPr>
                <w:rFonts w:hint="eastAsia" w:ascii="宋体" w:hAnsi="宋体"/>
                <w:color w:val="auto"/>
                <w:sz w:val="24"/>
                <w:szCs w:val="24"/>
                <w:lang w:eastAsia="zh-CN"/>
              </w:rPr>
              <w:t>”</w:t>
            </w:r>
            <w:r>
              <w:rPr>
                <w:rFonts w:hint="eastAsia" w:ascii="宋体" w:hAnsi="宋体" w:eastAsia="宋体" w:cs="宋体"/>
                <w:b w:val="0"/>
                <w:bCs w:val="0"/>
                <w:color w:val="auto"/>
                <w:sz w:val="24"/>
                <w:szCs w:val="24"/>
                <w:lang w:eastAsia="zh-CN"/>
              </w:rPr>
              <w:t>条款</w:t>
            </w:r>
            <w:r>
              <w:rPr>
                <w:rFonts w:hint="eastAsia" w:ascii="宋体" w:hAnsi="宋体" w:eastAsia="宋体" w:cs="宋体"/>
                <w:b w:val="0"/>
                <w:bCs w:val="0"/>
                <w:color w:val="auto"/>
                <w:kern w:val="0"/>
                <w:sz w:val="24"/>
                <w:szCs w:val="24"/>
              </w:rPr>
              <w:t>实质性要求，负偏离</w:t>
            </w:r>
            <w:r>
              <w:rPr>
                <w:rFonts w:hint="eastAsia" w:ascii="宋体" w:hAnsi="宋体" w:eastAsia="宋体" w:cs="宋体"/>
                <w:b w:val="0"/>
                <w:bCs w:val="0"/>
                <w:color w:val="auto"/>
                <w:kern w:val="0"/>
                <w:sz w:val="24"/>
                <w:szCs w:val="24"/>
                <w:lang w:eastAsia="zh-CN"/>
              </w:rPr>
              <w:t>则为</w:t>
            </w:r>
            <w:r>
              <w:rPr>
                <w:rFonts w:hint="eastAsia" w:ascii="宋体" w:hAnsi="宋体" w:eastAsia="宋体" w:cs="宋体"/>
                <w:b w:val="0"/>
                <w:bCs w:val="0"/>
                <w:color w:val="auto"/>
                <w:kern w:val="0"/>
                <w:sz w:val="24"/>
                <w:szCs w:val="24"/>
              </w:rPr>
              <w:t>无效响应文件</w:t>
            </w:r>
            <w:r>
              <w:rPr>
                <w:rFonts w:hint="eastAsia" w:ascii="宋体" w:hAnsi="宋体" w:eastAsia="宋体" w:cs="宋体"/>
                <w:b w:val="0"/>
                <w:bCs w:val="0"/>
                <w:color w:val="auto"/>
                <w:kern w:val="0"/>
                <w:sz w:val="24"/>
                <w:szCs w:val="24"/>
                <w:lang w:eastAsia="zh-CN"/>
              </w:rPr>
              <w:t>。</w:t>
            </w:r>
          </w:p>
        </w:tc>
        <w:tc>
          <w:tcPr>
            <w:tcW w:w="241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提供产品说明书或检测报告证明材料作为佐证</w:t>
            </w:r>
            <w:r>
              <w:rPr>
                <w:rFonts w:hint="eastAsia" w:ascii="宋体" w:hAnsi="宋体"/>
                <w:color w:val="auto"/>
                <w:sz w:val="24"/>
                <w:szCs w:val="24"/>
                <w:lang w:eastAsia="zh-CN"/>
              </w:rPr>
              <w:t>，</w:t>
            </w:r>
            <w:r>
              <w:rPr>
                <w:rFonts w:hint="eastAsia" w:ascii="宋体" w:hAnsi="宋体"/>
                <w:color w:val="auto"/>
                <w:sz w:val="24"/>
                <w:szCs w:val="24"/>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val="en-US" w:eastAsia="zh-CN"/>
              </w:rPr>
            </w:pPr>
            <w:r>
              <w:rPr>
                <w:rFonts w:hint="eastAsia" w:ascii="宋体" w:hAnsi="宋体"/>
                <w:bCs/>
                <w:color w:val="auto"/>
                <w:sz w:val="24"/>
                <w:szCs w:val="24"/>
                <w:lang w:val="en-US" w:eastAsia="zh-CN"/>
              </w:rPr>
              <w:t>3</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eastAsia="zh-CN"/>
              </w:rPr>
              <w:t>样品</w:t>
            </w:r>
            <w:r>
              <w:rPr>
                <w:rFonts w:hint="eastAsia" w:ascii="宋体" w:hAnsi="宋体"/>
                <w:bCs/>
                <w:color w:val="auto"/>
                <w:sz w:val="24"/>
                <w:szCs w:val="24"/>
                <w:lang w:val="en-US" w:eastAsia="zh-CN"/>
              </w:rPr>
              <w:t>15%</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val="en-US" w:eastAsia="zh-CN"/>
              </w:rPr>
            </w:pPr>
            <w:r>
              <w:rPr>
                <w:rFonts w:hint="eastAsia" w:ascii="宋体" w:hAnsi="宋体"/>
                <w:bCs/>
                <w:color w:val="auto"/>
                <w:sz w:val="24"/>
                <w:szCs w:val="24"/>
                <w:lang w:val="en-US" w:eastAsia="zh-CN"/>
              </w:rPr>
              <w:t>15</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default" w:ascii="宋体" w:hAnsi="宋体" w:eastAsia="宋体"/>
                <w:color w:val="auto"/>
                <w:sz w:val="24"/>
                <w:szCs w:val="24"/>
                <w:lang w:val="en-US" w:eastAsia="zh-CN"/>
              </w:rPr>
            </w:pPr>
            <w:r>
              <w:rPr>
                <w:rFonts w:hint="eastAsia" w:ascii="宋体" w:hAnsi="宋体"/>
                <w:color w:val="auto"/>
                <w:sz w:val="24"/>
                <w:szCs w:val="24"/>
                <w:lang w:eastAsia="zh-CN"/>
              </w:rPr>
              <w:t>根据模型材质、质量等综合评分，第一名得</w:t>
            </w:r>
            <w:r>
              <w:rPr>
                <w:rFonts w:hint="eastAsia" w:ascii="宋体" w:hAnsi="宋体"/>
                <w:color w:val="auto"/>
                <w:sz w:val="24"/>
                <w:szCs w:val="24"/>
                <w:lang w:val="en-US" w:eastAsia="zh-CN"/>
              </w:rPr>
              <w:t>15分，第二名得10分，第三名得5分，最低得0分。</w:t>
            </w:r>
          </w:p>
        </w:tc>
        <w:tc>
          <w:tcPr>
            <w:tcW w:w="241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olor w:val="auto"/>
                <w:sz w:val="24"/>
                <w:szCs w:val="24"/>
                <w:lang w:eastAsia="zh-CN"/>
              </w:rPr>
            </w:pPr>
            <w:r>
              <w:rPr>
                <w:rFonts w:hint="eastAsia" w:ascii="宋体" w:hAnsi="宋体"/>
                <w:color w:val="auto"/>
                <w:sz w:val="24"/>
                <w:szCs w:val="24"/>
                <w:lang w:eastAsia="zh-CN"/>
              </w:rPr>
              <w:t>必须提供样品，未提供模型，为无效投标。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4</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7%</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7</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21</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合同一个得0.5分，最多得</w:t>
            </w:r>
            <w:r>
              <w:rPr>
                <w:rFonts w:hint="eastAsia" w:ascii="宋体" w:hAnsi="宋体"/>
                <w:color w:val="auto"/>
                <w:sz w:val="24"/>
                <w:szCs w:val="24"/>
                <w:lang w:val="en-US" w:eastAsia="zh-CN"/>
              </w:rPr>
              <w:t>7</w:t>
            </w:r>
            <w:r>
              <w:rPr>
                <w:rFonts w:ascii="宋体" w:hAnsi="宋体"/>
                <w:color w:val="auto"/>
                <w:sz w:val="24"/>
                <w:szCs w:val="24"/>
              </w:rPr>
              <w:t>分。</w:t>
            </w:r>
          </w:p>
        </w:tc>
        <w:tc>
          <w:tcPr>
            <w:tcW w:w="241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w:t>
            </w:r>
            <w:r>
              <w:rPr>
                <w:rFonts w:hint="eastAsia" w:ascii="宋体" w:hAnsi="宋体"/>
                <w:color w:val="auto"/>
                <w:sz w:val="24"/>
                <w:szCs w:val="24"/>
                <w:lang w:eastAsia="zh-CN"/>
              </w:rPr>
              <w:t>产品</w:t>
            </w:r>
            <w:r>
              <w:rPr>
                <w:rFonts w:hint="eastAsia" w:ascii="宋体" w:hAnsi="宋体"/>
                <w:color w:val="auto"/>
                <w:sz w:val="24"/>
                <w:szCs w:val="24"/>
              </w:rPr>
              <w:t>销售业绩。</w:t>
            </w:r>
          </w:p>
          <w:p>
            <w:pPr>
              <w:spacing w:line="0" w:lineRule="atLeast"/>
              <w:jc w:val="center"/>
              <w:rPr>
                <w:rFonts w:ascii="宋体" w:hAnsi="宋体"/>
                <w:color w:val="auto"/>
                <w:sz w:val="24"/>
                <w:szCs w:val="24"/>
              </w:rPr>
            </w:pPr>
            <w:r>
              <w:rPr>
                <w:rFonts w:hint="eastAsia" w:ascii="宋体" w:hAnsi="宋体"/>
                <w:color w:val="auto"/>
                <w:sz w:val="24"/>
                <w:szCs w:val="24"/>
              </w:rPr>
              <w:t>提供</w:t>
            </w:r>
            <w:r>
              <w:rPr>
                <w:rFonts w:hint="eastAsia" w:ascii="宋体" w:hAnsi="宋体"/>
                <w:color w:val="auto"/>
                <w:sz w:val="24"/>
                <w:szCs w:val="24"/>
                <w:lang w:eastAsia="zh-CN"/>
              </w:rPr>
              <w:t>完整</w:t>
            </w:r>
            <w:r>
              <w:rPr>
                <w:rFonts w:hint="eastAsia" w:ascii="宋体" w:hAnsi="宋体"/>
                <w:color w:val="auto"/>
                <w:sz w:val="24"/>
                <w:szCs w:val="24"/>
              </w:rPr>
              <w:t>合同</w:t>
            </w:r>
            <w:r>
              <w:rPr>
                <w:rFonts w:ascii="宋体" w:hAnsi="宋体"/>
                <w:color w:val="auto"/>
                <w:sz w:val="24"/>
                <w:szCs w:val="24"/>
              </w:rPr>
              <w:t>/协议复印件并加盖投标人的公章。</w:t>
            </w:r>
          </w:p>
        </w:tc>
      </w:tr>
    </w:tbl>
    <w:p>
      <w:pPr>
        <w:rPr>
          <w:rFonts w:hint="eastAsia" w:ascii="Times New Roman" w:hAnsi="Times New Roman"/>
          <w:b/>
          <w:bCs/>
          <w:color w:val="FF0000"/>
          <w:kern w:val="0"/>
          <w:sz w:val="24"/>
          <w:szCs w:val="20"/>
          <w:lang w:eastAsia="zh-CN"/>
        </w:rPr>
      </w:pPr>
    </w:p>
    <w:p>
      <w:pPr>
        <w:rPr>
          <w:rFonts w:hint="eastAsia" w:ascii="Times New Roman" w:hAnsi="Times New Roman"/>
          <w:b/>
          <w:bCs/>
          <w:color w:val="FF0000"/>
          <w:kern w:val="0"/>
          <w:sz w:val="24"/>
          <w:szCs w:val="20"/>
          <w:lang w:eastAsia="zh-CN"/>
        </w:rPr>
      </w:pPr>
      <w:r>
        <w:rPr>
          <w:rFonts w:hint="eastAsia"/>
          <w:b/>
          <w:bCs/>
          <w:color w:val="auto"/>
          <w:kern w:val="0"/>
          <w:sz w:val="24"/>
          <w:szCs w:val="20"/>
          <w:lang w:val="en-US" w:eastAsia="zh-CN"/>
        </w:rPr>
        <w:br w:type="page"/>
      </w: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2"/>
          <w:szCs w:val="32"/>
        </w:rPr>
      </w:pPr>
      <w:r>
        <w:rPr>
          <w:rFonts w:hint="eastAsia" w:ascii="Times New Roman" w:hAnsi="Times New Roman"/>
          <w:sz w:val="32"/>
          <w:szCs w:val="32"/>
          <w:lang w:val="en-US" w:eastAsia="zh-CN"/>
        </w:rPr>
        <w:t xml:space="preserve">第四章 </w:t>
      </w:r>
      <w:r>
        <w:rPr>
          <w:rFonts w:ascii="Times New Roman" w:hAnsi="Times New Roman"/>
          <w:sz w:val="32"/>
          <w:szCs w:val="32"/>
        </w:rPr>
        <w:t>响应文件格式</w:t>
      </w:r>
      <w:bookmarkEnd w:id="7"/>
      <w:bookmarkEnd w:id="8"/>
      <w:r>
        <w:rPr>
          <w:rFonts w:hint="eastAsia" w:ascii="Times New Roman" w:hAnsi="Times New Roman"/>
          <w:sz w:val="32"/>
          <w:szCs w:val="32"/>
        </w:rPr>
        <w:t>和要求</w:t>
      </w:r>
    </w:p>
    <w:p>
      <w:pPr>
        <w:numPr>
          <w:ilvl w:val="0"/>
          <w:numId w:val="0"/>
        </w:num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（一式两份，一正一副，封面注明</w:t>
      </w:r>
      <w:r>
        <w:rPr>
          <w:rFonts w:hint="eastAsia" w:ascii="Times New Roman" w:hAnsi="Times New Roman"/>
          <w:b/>
          <w:bCs/>
          <w:kern w:val="0"/>
          <w:sz w:val="24"/>
          <w:szCs w:val="24"/>
          <w:lang w:val="en-US" w:eastAsia="zh-CN"/>
        </w:rPr>
        <w:t>项目</w:t>
      </w:r>
      <w:r>
        <w:rPr>
          <w:rFonts w:hint="eastAsia" w:ascii="Times New Roman" w:hAnsi="Times New Roman"/>
          <w:b/>
          <w:bCs/>
          <w:kern w:val="0"/>
          <w:sz w:val="24"/>
          <w:szCs w:val="24"/>
          <w:lang w:val="zh-CN"/>
        </w:rPr>
        <w:t>名称，报价为一次性报价。）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2、提供具有良好的商业信誉承诺书及20</w:t>
      </w:r>
      <w:r>
        <w:rPr>
          <w:rFonts w:hint="eastAsia" w:ascii="Times New Roman" w:hAnsi="Times New Roman"/>
          <w:kern w:val="0"/>
          <w:sz w:val="24"/>
          <w:szCs w:val="24"/>
          <w:lang w:val="en-US" w:eastAsia="zh-CN"/>
        </w:rPr>
        <w:t>21</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2</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3、提供具有履行合同所必须的设备和专业技术能力的承诺书。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4、提供开标日前任意一个月的缴纳税收和社保的银行缴款凭证或税务、社保部门出具的证明材料复印件。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5、提供参加本次比选采购活动前三年内，在经营活动中没有重大违法记录的承诺书。（公司成立不足三年的从成立之日起算）</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6、承诺与其他供应商之间，单位负责人不为同一人而且不存在直接控股、管理关系的承诺书；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7</w:t>
      </w:r>
      <w:r>
        <w:rPr>
          <w:rFonts w:ascii="Times New Roman" w:hAnsi="Times New Roman"/>
          <w:kern w:val="0"/>
          <w:sz w:val="24"/>
          <w:szCs w:val="24"/>
          <w:lang w:val="zh-CN"/>
        </w:rPr>
        <w:t>、法定代表人/单位负责人授权委托书（法定代表人/单位负责人或自然人直接参与投标的除外）。</w:t>
      </w:r>
    </w:p>
    <w:p>
      <w:pPr>
        <w:pStyle w:val="2"/>
        <w:rPr>
          <w:lang w:val="zh-CN"/>
        </w:rPr>
      </w:pPr>
      <w:r>
        <w:rPr>
          <w:rFonts w:hint="eastAsia"/>
          <w:kern w:val="0"/>
          <w:sz w:val="24"/>
          <w:szCs w:val="24"/>
          <w:lang w:val="en-US" w:eastAsia="zh-CN"/>
        </w:rPr>
        <w:t>8、</w:t>
      </w:r>
      <w:r>
        <w:rPr>
          <w:rFonts w:hint="eastAsia" w:ascii="宋体" w:hAnsi="宋体" w:eastAsia="宋体" w:cs="宋体"/>
          <w:sz w:val="24"/>
          <w:szCs w:val="24"/>
          <w:lang w:val="en-US" w:eastAsia="zh-CN"/>
        </w:rPr>
        <w:t>生产厂家/上级代理商的证件，包括营业执照、授权书等。</w:t>
      </w:r>
      <w:bookmarkStart w:id="52" w:name="_GoBack"/>
      <w:bookmarkEnd w:id="52"/>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二、响应文件格式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制响应文件格式，除格式中明确将该格式作为实质性要求的，一律不具有强制性，，比选申请人应根据比选文件要求及实际情况进行填写。但是，比选申请人响应文件相关资料和本章所制格式不一致的，比选小组将在比选时以响应文件不规范予以比选申请人修正。</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本章所制响应文件格式有关表格中的备注栏，由比选申请人根据自身响应情况作解释性说明，不作为必填项。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kern w:val="0"/>
          <w:sz w:val="32"/>
          <w:szCs w:val="20"/>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本章所制响应文件格式中需要填写的相关内容事项，可能会与本比选项目无关，在不改变响应文件原义、不影响本项目比选需求的情况下，比选申请人可以不予填写，但应当注明。</w:t>
      </w:r>
      <w:r>
        <w:rPr>
          <w:rFonts w:ascii="Times New Roman" w:hAnsi="Times New Roman"/>
          <w:kern w:val="0"/>
          <w:sz w:val="24"/>
          <w:szCs w:val="24"/>
          <w:lang w:val="zh-CN"/>
        </w:rPr>
        <w:br w:type="page"/>
      </w: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10" w:name="_Toc40447267"/>
      <w:bookmarkStart w:id="11" w:name="_Toc33698132"/>
      <w:bookmarkStart w:id="12" w:name="_Toc34051805"/>
      <w:bookmarkStart w:id="13" w:name="_Toc33709793"/>
      <w:bookmarkStart w:id="14" w:name="_Toc52036326"/>
      <w:r>
        <w:rPr>
          <w:rFonts w:ascii="Times New Roman" w:hAnsi="Times New Roman" w:eastAsia="黑体"/>
          <w:b/>
          <w:kern w:val="0"/>
          <w:sz w:val="32"/>
          <w:szCs w:val="32"/>
        </w:rPr>
        <w:t>一、封面</w:t>
      </w:r>
      <w:bookmarkEnd w:id="10"/>
      <w:bookmarkEnd w:id="11"/>
      <w:bookmarkEnd w:id="12"/>
      <w:bookmarkEnd w:id="13"/>
      <w:bookmarkEnd w:id="14"/>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5" w:name="_Toc34051806"/>
      <w:bookmarkStart w:id="16" w:name="_Toc33698133"/>
      <w:bookmarkStart w:id="17" w:name="_Toc33709794"/>
      <w:bookmarkStart w:id="18" w:name="_Toc40447268"/>
      <w:bookmarkStart w:id="19" w:name="_Toc52036327"/>
      <w:r>
        <w:rPr>
          <w:rFonts w:ascii="Times New Roman" w:hAnsi="Times New Roman" w:eastAsia="黑体"/>
          <w:b/>
          <w:kern w:val="0"/>
          <w:sz w:val="32"/>
          <w:szCs w:val="32"/>
        </w:rPr>
        <w:t>二、法定代表人/单位负责人授权书</w:t>
      </w:r>
      <w:bookmarkEnd w:id="15"/>
      <w:bookmarkEnd w:id="16"/>
      <w:bookmarkEnd w:id="17"/>
      <w:bookmarkEnd w:id="18"/>
      <w:bookmarkEnd w:id="19"/>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20" w:name="_Toc34051807"/>
      <w:bookmarkStart w:id="21" w:name="_Toc33709795"/>
      <w:bookmarkStart w:id="22" w:name="_Toc33698134"/>
      <w:bookmarkStart w:id="23" w:name="_Toc52036328"/>
      <w:bookmarkStart w:id="24" w:name="_Toc40447269"/>
      <w:r>
        <w:rPr>
          <w:rFonts w:ascii="Times New Roman" w:hAnsi="Times New Roman" w:eastAsia="黑体"/>
          <w:b/>
          <w:kern w:val="0"/>
          <w:sz w:val="32"/>
          <w:szCs w:val="32"/>
        </w:rPr>
        <w:t>三、承诺函</w:t>
      </w:r>
      <w:bookmarkEnd w:id="20"/>
      <w:bookmarkEnd w:id="21"/>
      <w:bookmarkEnd w:id="22"/>
      <w:bookmarkEnd w:id="23"/>
      <w:bookmarkEnd w:id="24"/>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5" w:name="_Toc52036329"/>
      <w:bookmarkStart w:id="26" w:name="_Toc33709796"/>
      <w:bookmarkStart w:id="27" w:name="_Toc40447270"/>
      <w:bookmarkStart w:id="28" w:name="_Toc34051808"/>
      <w:bookmarkStart w:id="29" w:name="_Toc33698135"/>
      <w:r>
        <w:rPr>
          <w:rFonts w:ascii="Times New Roman" w:hAnsi="Times New Roman" w:eastAsia="黑体"/>
          <w:b/>
          <w:kern w:val="0"/>
          <w:sz w:val="32"/>
          <w:szCs w:val="32"/>
        </w:rPr>
        <w:t>四、比选申请人、报价产品资格、资质性及其他类似效力要求的相关证明材料</w:t>
      </w:r>
      <w:bookmarkEnd w:id="25"/>
      <w:bookmarkEnd w:id="26"/>
      <w:bookmarkEnd w:id="27"/>
      <w:bookmarkEnd w:id="28"/>
      <w:bookmarkEnd w:id="29"/>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2831"/>
        <w:gridCol w:w="2831"/>
        <w:gridCol w:w="1410"/>
        <w:gridCol w:w="14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30" w:name="_Toc436820890"/>
      <w:bookmarkStart w:id="31" w:name="_Toc436404120"/>
      <w:bookmarkStart w:id="32" w:name="_Toc436385992"/>
      <w:bookmarkStart w:id="33" w:name="_Toc307564880"/>
      <w:bookmarkStart w:id="34" w:name="_Toc436410129"/>
      <w:r>
        <w:rPr>
          <w:rFonts w:ascii="Times New Roman" w:hAnsi="Times New Roman"/>
          <w:kern w:val="0"/>
          <w:sz w:val="24"/>
          <w:szCs w:val="20"/>
        </w:rPr>
        <w:br w:type="page"/>
      </w:r>
      <w:bookmarkEnd w:id="30"/>
      <w:bookmarkEnd w:id="31"/>
      <w:bookmarkEnd w:id="32"/>
      <w:bookmarkEnd w:id="33"/>
      <w:bookmarkEnd w:id="34"/>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5" w:name="_Toc503986415"/>
      <w:bookmarkStart w:id="36" w:name="_Toc503987293"/>
      <w:bookmarkStart w:id="37" w:name="_Toc503987183"/>
      <w:bookmarkStart w:id="38" w:name="_Toc503987104"/>
      <w:bookmarkStart w:id="39" w:name="_Toc503986838"/>
      <w:bookmarkStart w:id="40" w:name="_Toc503986971"/>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1" w:name="_Toc33698136"/>
      <w:bookmarkStart w:id="42" w:name="_Toc33709797"/>
      <w:bookmarkStart w:id="43" w:name="_Toc52036330"/>
      <w:bookmarkStart w:id="44" w:name="_Toc34051809"/>
      <w:bookmarkStart w:id="45" w:name="_Toc40447271"/>
      <w:r>
        <w:rPr>
          <w:rFonts w:ascii="Times New Roman" w:hAnsi="Times New Roman" w:eastAsia="黑体"/>
          <w:b/>
          <w:kern w:val="0"/>
          <w:sz w:val="32"/>
          <w:szCs w:val="32"/>
        </w:rPr>
        <w:t>八、满足实质性要求承诺函</w:t>
      </w:r>
      <w:bookmarkEnd w:id="35"/>
      <w:bookmarkEnd w:id="36"/>
      <w:bookmarkEnd w:id="37"/>
      <w:bookmarkEnd w:id="38"/>
      <w:bookmarkEnd w:id="39"/>
      <w:bookmarkEnd w:id="40"/>
      <w:bookmarkEnd w:id="41"/>
      <w:bookmarkEnd w:id="42"/>
      <w:bookmarkEnd w:id="43"/>
      <w:bookmarkEnd w:id="44"/>
      <w:bookmarkEnd w:id="45"/>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6" w:name="_Toc34051810"/>
      <w:bookmarkStart w:id="47" w:name="_Toc52036331"/>
      <w:bookmarkStart w:id="48" w:name="_Toc33709798"/>
      <w:bookmarkStart w:id="49" w:name="_Toc40447272"/>
      <w:bookmarkStart w:id="50" w:name="_Toc33698137"/>
      <w:r>
        <w:rPr>
          <w:rFonts w:ascii="Times New Roman" w:hAnsi="Times New Roman" w:eastAsia="黑体"/>
          <w:b/>
          <w:kern w:val="0"/>
          <w:sz w:val="32"/>
          <w:szCs w:val="32"/>
        </w:rPr>
        <w:t>九、知识产权承诺函</w:t>
      </w:r>
      <w:bookmarkEnd w:id="46"/>
      <w:bookmarkEnd w:id="47"/>
      <w:bookmarkEnd w:id="48"/>
      <w:bookmarkEnd w:id="49"/>
      <w:bookmarkEnd w:id="50"/>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778"/>
        <w:gridCol w:w="1464"/>
        <w:gridCol w:w="732"/>
        <w:gridCol w:w="1282"/>
        <w:gridCol w:w="1282"/>
        <w:gridCol w:w="1217"/>
        <w:gridCol w:w="981"/>
        <w:gridCol w:w="9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1、报价说明：</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pPr>
        <w:rPr>
          <w:rFonts w:ascii="Times New Roman" w:hAnsi="Times New Roman"/>
          <w:b/>
          <w:sz w:val="24"/>
        </w:rPr>
      </w:pPr>
      <w:r>
        <w:rPr>
          <w:rFonts w:ascii="Times New Roman" w:hAnsi="Times New Roman"/>
          <w:sz w:val="24"/>
        </w:rPr>
        <w:br w:type="page"/>
      </w:r>
      <w:r>
        <w:rPr>
          <w:rFonts w:ascii="Times New Roman" w:hAnsi="Times New Roman"/>
          <w:b/>
          <w:sz w:val="24"/>
        </w:rPr>
        <w:t>格式2-1</w:t>
      </w:r>
      <w:r>
        <w:rPr>
          <w:rFonts w:hint="eastAsia" w:ascii="Times New Roman" w:hAnsi="Times New Roman"/>
          <w:b/>
          <w:sz w:val="24"/>
        </w:rPr>
        <w:t>1</w:t>
      </w:r>
    </w:p>
    <w:p>
      <w:pPr>
        <w:spacing w:line="360" w:lineRule="auto"/>
        <w:rPr>
          <w:rFonts w:ascii="Times New Roman" w:hAnsi="Times New Roman"/>
          <w:sz w:val="24"/>
        </w:rPr>
      </w:pPr>
    </w:p>
    <w:p>
      <w:pPr>
        <w:spacing w:line="360" w:lineRule="auto"/>
        <w:jc w:val="center"/>
        <w:outlineLvl w:val="1"/>
        <w:rPr>
          <w:rFonts w:ascii="Times New Roman" w:hAnsi="Times New Roman" w:eastAsia="黑体"/>
          <w:b/>
          <w:sz w:val="32"/>
          <w:szCs w:val="32"/>
        </w:rPr>
      </w:pPr>
      <w:bookmarkStart w:id="51" w:name="_Toc52036333"/>
      <w:r>
        <w:rPr>
          <w:rFonts w:hint="eastAsia" w:ascii="Times New Roman" w:hAnsi="Times New Roman" w:eastAsia="黑体"/>
          <w:b/>
          <w:sz w:val="32"/>
          <w:szCs w:val="32"/>
        </w:rPr>
        <w:t>十</w:t>
      </w:r>
      <w:r>
        <w:rPr>
          <w:rFonts w:hint="eastAsia" w:ascii="Times New Roman" w:hAnsi="Times New Roman" w:eastAsia="黑体"/>
          <w:b/>
          <w:sz w:val="32"/>
          <w:szCs w:val="32"/>
          <w:lang w:eastAsia="zh-CN"/>
        </w:rPr>
        <w:t>一</w:t>
      </w:r>
      <w:r>
        <w:rPr>
          <w:rFonts w:ascii="Times New Roman" w:hAnsi="Times New Roman" w:eastAsia="黑体"/>
          <w:b/>
          <w:sz w:val="32"/>
          <w:szCs w:val="32"/>
        </w:rPr>
        <w:t>、分项报价明细表</w:t>
      </w:r>
      <w:bookmarkEnd w:id="51"/>
    </w:p>
    <w:p>
      <w:pPr>
        <w:spacing w:line="360" w:lineRule="auto"/>
        <w:rPr>
          <w:rFonts w:ascii="Times New Roman" w:hAnsi="Times New Roman"/>
          <w:b/>
          <w:bCs/>
          <w:sz w:val="24"/>
        </w:rPr>
      </w:pPr>
    </w:p>
    <w:p>
      <w:pPr>
        <w:spacing w:line="360" w:lineRule="auto"/>
        <w:rPr>
          <w:rFonts w:ascii="Times New Roman" w:hAnsi="Times New Roman"/>
          <w:b/>
          <w:bCs/>
          <w:sz w:val="24"/>
        </w:rPr>
      </w:pPr>
      <w:r>
        <w:rPr>
          <w:rFonts w:ascii="Times New Roman" w:hAnsi="Times New Roman"/>
          <w:b/>
          <w:bCs/>
          <w:sz w:val="24"/>
        </w:rPr>
        <w:t>项目名称：</w:t>
      </w:r>
      <w:r>
        <w:rPr>
          <w:rFonts w:ascii="Times New Roman" w:hAnsi="Times New Roman" w:eastAsia="新宋体"/>
          <w:b/>
          <w:bCs/>
          <w:sz w:val="24"/>
          <w:u w:val="single"/>
        </w:rPr>
        <w:t xml:space="preserve">                                        </w:t>
      </w:r>
    </w:p>
    <w:p>
      <w:pPr>
        <w:jc w:val="right"/>
        <w:rPr>
          <w:rFonts w:ascii="Times New Roman" w:hAnsi="Times New Roman"/>
        </w:rPr>
      </w:pP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176"/>
        <w:gridCol w:w="1236"/>
        <w:gridCol w:w="1546"/>
        <w:gridCol w:w="1392"/>
        <w:gridCol w:w="1699"/>
        <w:gridCol w:w="14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序号</w:t>
            </w:r>
          </w:p>
        </w:tc>
        <w:tc>
          <w:tcPr>
            <w:tcW w:w="1080"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设备名称</w:t>
            </w:r>
          </w:p>
        </w:tc>
        <w:tc>
          <w:tcPr>
            <w:tcW w:w="1134"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数量</w:t>
            </w:r>
          </w:p>
        </w:tc>
        <w:tc>
          <w:tcPr>
            <w:tcW w:w="1418"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单价</w:t>
            </w:r>
          </w:p>
        </w:tc>
        <w:tc>
          <w:tcPr>
            <w:tcW w:w="127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规格型号</w:t>
            </w:r>
          </w:p>
        </w:tc>
        <w:tc>
          <w:tcPr>
            <w:tcW w:w="155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总价（</w:t>
            </w:r>
            <w:r>
              <w:rPr>
                <w:rFonts w:hint="eastAsia" w:ascii="Times New Roman" w:hAnsi="Times New Roman"/>
                <w:b/>
                <w:sz w:val="24"/>
              </w:rPr>
              <w:t>万</w:t>
            </w:r>
            <w:r>
              <w:rPr>
                <w:rFonts w:ascii="Times New Roman" w:hAnsi="Times New Roman"/>
                <w:b/>
                <w:sz w:val="24"/>
              </w:rPr>
              <w:t>元）</w:t>
            </w:r>
          </w:p>
        </w:tc>
        <w:tc>
          <w:tcPr>
            <w:tcW w:w="132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1</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2</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3</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4</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5</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6</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7</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Lines="50" w:afterLines="50"/>
              <w:ind w:left="-105" w:leftChars="-50" w:right="-105" w:rightChars="-50"/>
              <w:jc w:val="left"/>
              <w:rPr>
                <w:rFonts w:ascii="Times New Roman" w:hAnsi="Times New Roman"/>
                <w:b/>
                <w:sz w:val="24"/>
              </w:rPr>
            </w:pPr>
            <w:r>
              <w:rPr>
                <w:rFonts w:ascii="Times New Roman" w:hAnsi="Times New Roman"/>
                <w:b/>
                <w:sz w:val="24"/>
              </w:rPr>
              <w:t>分项报价合计（</w:t>
            </w:r>
            <w:r>
              <w:rPr>
                <w:rFonts w:hint="eastAsia" w:ascii="Times New Roman" w:hAnsi="Times New Roman"/>
                <w:b/>
                <w:sz w:val="24"/>
              </w:rPr>
              <w:t>万</w:t>
            </w:r>
            <w:r>
              <w:rPr>
                <w:rFonts w:ascii="Times New Roman" w:hAnsi="Times New Roman"/>
                <w:b/>
                <w:sz w:val="24"/>
              </w:rPr>
              <w:t>元）：          大写：</w:t>
            </w:r>
          </w:p>
        </w:tc>
      </w:tr>
    </w:tbl>
    <w:p>
      <w:pPr>
        <w:spacing w:line="360" w:lineRule="auto"/>
        <w:rPr>
          <w:rFonts w:ascii="Times New Roman" w:hAnsi="Times New Roman"/>
          <w:b/>
          <w:sz w:val="24"/>
        </w:rPr>
      </w:pPr>
      <w:r>
        <w:rPr>
          <w:rFonts w:ascii="Times New Roman" w:hAnsi="Times New Roman"/>
          <w:b/>
          <w:sz w:val="24"/>
        </w:rPr>
        <w:t>注：</w:t>
      </w:r>
    </w:p>
    <w:p>
      <w:pPr>
        <w:spacing w:line="360" w:lineRule="auto"/>
        <w:ind w:left="850" w:leftChars="229" w:hanging="369" w:hangingChars="154"/>
        <w:rPr>
          <w:rFonts w:ascii="Times New Roman" w:hAnsi="Times New Roman"/>
          <w:sz w:val="24"/>
        </w:rPr>
      </w:pPr>
      <w:r>
        <w:rPr>
          <w:rFonts w:ascii="Times New Roman" w:hAnsi="Times New Roman"/>
          <w:sz w:val="24"/>
        </w:rPr>
        <w:t>1、比选申请人必须按“分项报价明细表”的格式详细报出投标总价的各个组成部分的报价，无法细分出报价组成因素的可直接报总价。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sz w:val="24"/>
        </w:rPr>
      </w:pPr>
      <w:r>
        <w:rPr>
          <w:rFonts w:ascii="Times New Roman" w:hAnsi="Times New Roman"/>
          <w:sz w:val="24"/>
        </w:rPr>
        <w:t>2、“分项报价明细表”各分项报价合计应当与“报价表”报价合计相等。</w:t>
      </w: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widowControl/>
        <w:adjustRightInd w:val="0"/>
        <w:snapToGrid w:val="0"/>
        <w:spacing w:line="400" w:lineRule="exact"/>
        <w:ind w:firstLine="480" w:firstLineChars="200"/>
        <w:jc w:val="left"/>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5"/>
      <w:bookmarkEnd w:id="6"/>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4MWUwNDZiYTJkODUwMWJjYzAyNDk4ZjRlYWNiNjk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906065"/>
    <w:rsid w:val="01BD420B"/>
    <w:rsid w:val="01E74ACC"/>
    <w:rsid w:val="02CD3CC1"/>
    <w:rsid w:val="02CE35B0"/>
    <w:rsid w:val="03480454"/>
    <w:rsid w:val="040F6DEE"/>
    <w:rsid w:val="04891E6A"/>
    <w:rsid w:val="04E70C2A"/>
    <w:rsid w:val="082E244F"/>
    <w:rsid w:val="08415C90"/>
    <w:rsid w:val="09341002"/>
    <w:rsid w:val="0A83706D"/>
    <w:rsid w:val="0AFA5A96"/>
    <w:rsid w:val="0B411AB4"/>
    <w:rsid w:val="0B6010B4"/>
    <w:rsid w:val="0CD27FFC"/>
    <w:rsid w:val="0D0F4ED6"/>
    <w:rsid w:val="0D4E7778"/>
    <w:rsid w:val="0DAC4D70"/>
    <w:rsid w:val="0E677033"/>
    <w:rsid w:val="0E7F1957"/>
    <w:rsid w:val="0EA63619"/>
    <w:rsid w:val="0FD3569A"/>
    <w:rsid w:val="113B16DB"/>
    <w:rsid w:val="1296673E"/>
    <w:rsid w:val="12C249B2"/>
    <w:rsid w:val="137A20FF"/>
    <w:rsid w:val="14E84654"/>
    <w:rsid w:val="151614F8"/>
    <w:rsid w:val="15200185"/>
    <w:rsid w:val="15304B56"/>
    <w:rsid w:val="17122347"/>
    <w:rsid w:val="17F6222D"/>
    <w:rsid w:val="18461C09"/>
    <w:rsid w:val="1B266D2D"/>
    <w:rsid w:val="1B4D05AA"/>
    <w:rsid w:val="1B5B7B3E"/>
    <w:rsid w:val="1B5E7755"/>
    <w:rsid w:val="1BAC4722"/>
    <w:rsid w:val="1C281231"/>
    <w:rsid w:val="1C88336B"/>
    <w:rsid w:val="1CB57848"/>
    <w:rsid w:val="1CBF41C4"/>
    <w:rsid w:val="1DA63635"/>
    <w:rsid w:val="1E0A001A"/>
    <w:rsid w:val="1E5F07E5"/>
    <w:rsid w:val="1E9B5F74"/>
    <w:rsid w:val="1F1D0593"/>
    <w:rsid w:val="1F2324A2"/>
    <w:rsid w:val="1FAE4192"/>
    <w:rsid w:val="1FDE786A"/>
    <w:rsid w:val="1FE401DF"/>
    <w:rsid w:val="20513A9F"/>
    <w:rsid w:val="20A2053B"/>
    <w:rsid w:val="20D42641"/>
    <w:rsid w:val="20D54F08"/>
    <w:rsid w:val="20ED7DFF"/>
    <w:rsid w:val="22034BB2"/>
    <w:rsid w:val="22CA3482"/>
    <w:rsid w:val="239301B8"/>
    <w:rsid w:val="247F6619"/>
    <w:rsid w:val="24CC1BD3"/>
    <w:rsid w:val="26463681"/>
    <w:rsid w:val="271213BB"/>
    <w:rsid w:val="271909D4"/>
    <w:rsid w:val="27457A1B"/>
    <w:rsid w:val="28A10C81"/>
    <w:rsid w:val="290B5717"/>
    <w:rsid w:val="29A7364C"/>
    <w:rsid w:val="2A092A55"/>
    <w:rsid w:val="2B970CE2"/>
    <w:rsid w:val="2BD0497A"/>
    <w:rsid w:val="2BF11E95"/>
    <w:rsid w:val="2BFC0981"/>
    <w:rsid w:val="2C581E21"/>
    <w:rsid w:val="2D7C46D0"/>
    <w:rsid w:val="2DBD030B"/>
    <w:rsid w:val="2E2B494B"/>
    <w:rsid w:val="2F5D26AF"/>
    <w:rsid w:val="2FB70420"/>
    <w:rsid w:val="30EF4C64"/>
    <w:rsid w:val="311C17EC"/>
    <w:rsid w:val="31B9528D"/>
    <w:rsid w:val="31D2634F"/>
    <w:rsid w:val="31E61F31"/>
    <w:rsid w:val="32C77752"/>
    <w:rsid w:val="32CD2AF9"/>
    <w:rsid w:val="32E80129"/>
    <w:rsid w:val="3361798A"/>
    <w:rsid w:val="33D16649"/>
    <w:rsid w:val="3410163B"/>
    <w:rsid w:val="34B2483D"/>
    <w:rsid w:val="35143368"/>
    <w:rsid w:val="352C0BF7"/>
    <w:rsid w:val="35CD57AB"/>
    <w:rsid w:val="35DF103A"/>
    <w:rsid w:val="3609706D"/>
    <w:rsid w:val="36A06C35"/>
    <w:rsid w:val="36F100CE"/>
    <w:rsid w:val="37164E99"/>
    <w:rsid w:val="377E36AE"/>
    <w:rsid w:val="37FD55EC"/>
    <w:rsid w:val="3839273F"/>
    <w:rsid w:val="38997BC6"/>
    <w:rsid w:val="38C641BE"/>
    <w:rsid w:val="390C65EA"/>
    <w:rsid w:val="39202673"/>
    <w:rsid w:val="3A83468A"/>
    <w:rsid w:val="3BD105B3"/>
    <w:rsid w:val="3BE1743B"/>
    <w:rsid w:val="3BF758E5"/>
    <w:rsid w:val="3C693B9A"/>
    <w:rsid w:val="3EA77DD5"/>
    <w:rsid w:val="3F3026AC"/>
    <w:rsid w:val="3FDC7247"/>
    <w:rsid w:val="407A208B"/>
    <w:rsid w:val="40F37FB8"/>
    <w:rsid w:val="421D53C4"/>
    <w:rsid w:val="42A96C58"/>
    <w:rsid w:val="42F44377"/>
    <w:rsid w:val="44085EAC"/>
    <w:rsid w:val="444F0625"/>
    <w:rsid w:val="45392515"/>
    <w:rsid w:val="458A40C2"/>
    <w:rsid w:val="45BE1E11"/>
    <w:rsid w:val="45EA0429"/>
    <w:rsid w:val="45F4468E"/>
    <w:rsid w:val="468679DC"/>
    <w:rsid w:val="46BF7F1F"/>
    <w:rsid w:val="46D1677D"/>
    <w:rsid w:val="46FB0382"/>
    <w:rsid w:val="472C4F7A"/>
    <w:rsid w:val="478661AE"/>
    <w:rsid w:val="47EB6865"/>
    <w:rsid w:val="48D7545E"/>
    <w:rsid w:val="497C50C6"/>
    <w:rsid w:val="499C12C5"/>
    <w:rsid w:val="49EB1918"/>
    <w:rsid w:val="49EF479F"/>
    <w:rsid w:val="4A895CED"/>
    <w:rsid w:val="4ABA00E1"/>
    <w:rsid w:val="4BB548C0"/>
    <w:rsid w:val="4BC43E4C"/>
    <w:rsid w:val="4C2C6594"/>
    <w:rsid w:val="4C324F11"/>
    <w:rsid w:val="4C7D185E"/>
    <w:rsid w:val="4DFE10C7"/>
    <w:rsid w:val="4E81291C"/>
    <w:rsid w:val="4F624D5E"/>
    <w:rsid w:val="4FC7696F"/>
    <w:rsid w:val="500109DB"/>
    <w:rsid w:val="50165E6F"/>
    <w:rsid w:val="50277BC9"/>
    <w:rsid w:val="50D15CF8"/>
    <w:rsid w:val="50D92B4F"/>
    <w:rsid w:val="51066F16"/>
    <w:rsid w:val="51AE40DC"/>
    <w:rsid w:val="52B14033"/>
    <w:rsid w:val="531C155C"/>
    <w:rsid w:val="53455021"/>
    <w:rsid w:val="5367649F"/>
    <w:rsid w:val="538A508B"/>
    <w:rsid w:val="538C23AA"/>
    <w:rsid w:val="53D855EF"/>
    <w:rsid w:val="5422686A"/>
    <w:rsid w:val="54B75204"/>
    <w:rsid w:val="55356E1A"/>
    <w:rsid w:val="568E6439"/>
    <w:rsid w:val="56B93C5A"/>
    <w:rsid w:val="56E12A0D"/>
    <w:rsid w:val="573963A5"/>
    <w:rsid w:val="578E0FAB"/>
    <w:rsid w:val="58360F93"/>
    <w:rsid w:val="58BA1F78"/>
    <w:rsid w:val="599D70BF"/>
    <w:rsid w:val="5AA9706F"/>
    <w:rsid w:val="5AAD383C"/>
    <w:rsid w:val="5B505E97"/>
    <w:rsid w:val="5C9D30FF"/>
    <w:rsid w:val="5DCB4FC2"/>
    <w:rsid w:val="5DD62B9F"/>
    <w:rsid w:val="5DD8138D"/>
    <w:rsid w:val="5DEF0CB7"/>
    <w:rsid w:val="5E0E058B"/>
    <w:rsid w:val="5E435D5B"/>
    <w:rsid w:val="5EBF7E2B"/>
    <w:rsid w:val="5F9B0133"/>
    <w:rsid w:val="60E75FA3"/>
    <w:rsid w:val="611E7ED2"/>
    <w:rsid w:val="61504A17"/>
    <w:rsid w:val="617A7CE6"/>
    <w:rsid w:val="624E2765"/>
    <w:rsid w:val="62892A63"/>
    <w:rsid w:val="64633872"/>
    <w:rsid w:val="64A01811"/>
    <w:rsid w:val="64C00105"/>
    <w:rsid w:val="64F8789F"/>
    <w:rsid w:val="659F01D8"/>
    <w:rsid w:val="66350708"/>
    <w:rsid w:val="66723681"/>
    <w:rsid w:val="6686620A"/>
    <w:rsid w:val="67A55390"/>
    <w:rsid w:val="67FC1454"/>
    <w:rsid w:val="68871E97"/>
    <w:rsid w:val="68B977C1"/>
    <w:rsid w:val="692844CB"/>
    <w:rsid w:val="69E4351C"/>
    <w:rsid w:val="6A4F2F1A"/>
    <w:rsid w:val="6ABE0C43"/>
    <w:rsid w:val="6B5A3D3B"/>
    <w:rsid w:val="6B8A20A2"/>
    <w:rsid w:val="6B8C2459"/>
    <w:rsid w:val="6BB8153D"/>
    <w:rsid w:val="6BDF60AB"/>
    <w:rsid w:val="6BFB0B1E"/>
    <w:rsid w:val="6C320399"/>
    <w:rsid w:val="6C495117"/>
    <w:rsid w:val="6C755241"/>
    <w:rsid w:val="6C8859AD"/>
    <w:rsid w:val="6D50327E"/>
    <w:rsid w:val="6D965EA7"/>
    <w:rsid w:val="6F2C102A"/>
    <w:rsid w:val="6F4C1FBC"/>
    <w:rsid w:val="6F514ADE"/>
    <w:rsid w:val="6F833AC6"/>
    <w:rsid w:val="6FA74BB9"/>
    <w:rsid w:val="6FD902CD"/>
    <w:rsid w:val="709F1517"/>
    <w:rsid w:val="70B22DAB"/>
    <w:rsid w:val="70D939C7"/>
    <w:rsid w:val="7102357B"/>
    <w:rsid w:val="713951B9"/>
    <w:rsid w:val="71593422"/>
    <w:rsid w:val="72A64823"/>
    <w:rsid w:val="72B059E8"/>
    <w:rsid w:val="72BE0D48"/>
    <w:rsid w:val="72D9655C"/>
    <w:rsid w:val="73041B05"/>
    <w:rsid w:val="732C647B"/>
    <w:rsid w:val="7353202C"/>
    <w:rsid w:val="7466395C"/>
    <w:rsid w:val="74A94C32"/>
    <w:rsid w:val="74F117E3"/>
    <w:rsid w:val="75D27A87"/>
    <w:rsid w:val="76481D09"/>
    <w:rsid w:val="76F43665"/>
    <w:rsid w:val="770737D2"/>
    <w:rsid w:val="79DB05EE"/>
    <w:rsid w:val="7A1B6C1E"/>
    <w:rsid w:val="7A351B2A"/>
    <w:rsid w:val="7A6A66F1"/>
    <w:rsid w:val="7AB7598A"/>
    <w:rsid w:val="7C3F13C0"/>
    <w:rsid w:val="7C754515"/>
    <w:rsid w:val="7D080444"/>
    <w:rsid w:val="7D8D4B15"/>
    <w:rsid w:val="7E0D277C"/>
    <w:rsid w:val="7E580D51"/>
    <w:rsid w:val="7FDF07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9"/>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9"/>
    <w:qFormat/>
    <w:uiPriority w:val="0"/>
    <w:pPr>
      <w:spacing w:after="120"/>
    </w:pPr>
    <w:rPr>
      <w:rFonts w:ascii="Times New Roman" w:hAnsi="Times New Roman"/>
    </w:rPr>
  </w:style>
  <w:style w:type="paragraph" w:styleId="6">
    <w:name w:val="Normal Indent"/>
    <w:basedOn w:val="1"/>
    <w:qFormat/>
    <w:uiPriority w:val="0"/>
    <w:pPr>
      <w:widowControl/>
      <w:spacing w:line="360" w:lineRule="auto"/>
      <w:ind w:firstLine="420"/>
      <w:jc w:val="left"/>
    </w:pPr>
    <w:rPr>
      <w:rFonts w:ascii="宋体" w:hAnsi="宋体"/>
      <w:kern w:val="0"/>
      <w:szCs w:val="20"/>
    </w:rPr>
  </w:style>
  <w:style w:type="paragraph" w:styleId="7">
    <w:name w:val="annotation text"/>
    <w:basedOn w:val="1"/>
    <w:link w:val="56"/>
    <w:qFormat/>
    <w:uiPriority w:val="0"/>
    <w:pPr>
      <w:jc w:val="left"/>
    </w:pPr>
    <w:rPr>
      <w:rFonts w:ascii="Times New Roman" w:hAnsi="Times New Roman"/>
    </w:rPr>
  </w:style>
  <w:style w:type="paragraph" w:styleId="8">
    <w:name w:val="Body Text Indent"/>
    <w:basedOn w:val="1"/>
    <w:link w:val="50"/>
    <w:qFormat/>
    <w:uiPriority w:val="0"/>
    <w:pPr>
      <w:spacing w:after="120"/>
      <w:ind w:left="420" w:leftChars="200"/>
    </w:pPr>
    <w:rPr>
      <w:rFonts w:ascii="Times New Roman" w:hAnsi="Times New Roman"/>
    </w:rPr>
  </w:style>
  <w:style w:type="paragraph" w:styleId="9">
    <w:name w:val="toc 3"/>
    <w:basedOn w:val="1"/>
    <w:next w:val="1"/>
    <w:qFormat/>
    <w:uiPriority w:val="39"/>
    <w:pPr>
      <w:ind w:left="840" w:leftChars="400"/>
    </w:pPr>
  </w:style>
  <w:style w:type="paragraph" w:styleId="10">
    <w:name w:val="Plain Text"/>
    <w:basedOn w:val="1"/>
    <w:link w:val="66"/>
    <w:qFormat/>
    <w:uiPriority w:val="0"/>
    <w:rPr>
      <w:rFonts w:ascii="宋体" w:hAnsi="Courier New" w:cs="Courier New"/>
      <w:szCs w:val="21"/>
    </w:rPr>
  </w:style>
  <w:style w:type="paragraph" w:styleId="11">
    <w:name w:val="Date"/>
    <w:basedOn w:val="1"/>
    <w:next w:val="1"/>
    <w:link w:val="55"/>
    <w:qFormat/>
    <w:uiPriority w:val="0"/>
    <w:pPr>
      <w:ind w:left="100" w:leftChars="2500"/>
    </w:pPr>
    <w:rPr>
      <w:rFonts w:ascii="Times New Roman" w:hAnsi="Times New Roman"/>
    </w:rPr>
  </w:style>
  <w:style w:type="paragraph" w:styleId="12">
    <w:name w:val="Body Text Indent 2"/>
    <w:basedOn w:val="1"/>
    <w:link w:val="54"/>
    <w:qFormat/>
    <w:uiPriority w:val="0"/>
    <w:pPr>
      <w:spacing w:after="120" w:line="480" w:lineRule="auto"/>
      <w:ind w:left="420" w:leftChars="200"/>
    </w:pPr>
  </w:style>
  <w:style w:type="paragraph" w:styleId="13">
    <w:name w:val="Balloon Text"/>
    <w:basedOn w:val="1"/>
    <w:link w:val="65"/>
    <w:qFormat/>
    <w:uiPriority w:val="0"/>
    <w:rPr>
      <w:rFonts w:ascii="Times New Roman" w:hAnsi="Times New Roman"/>
      <w:sz w:val="18"/>
      <w:szCs w:val="18"/>
    </w:rPr>
  </w:style>
  <w:style w:type="paragraph" w:styleId="14">
    <w:name w:val="footer"/>
    <w:basedOn w:val="1"/>
    <w:link w:val="64"/>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tabs>
        <w:tab w:val="left" w:pos="510"/>
        <w:tab w:val="right" w:leader="dot" w:pos="8296"/>
      </w:tabs>
      <w:spacing w:line="360" w:lineRule="auto"/>
    </w:p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link w:val="53"/>
    <w:qFormat/>
    <w:uiPriority w:val="0"/>
    <w:pPr>
      <w:spacing w:before="240" w:after="60"/>
      <w:jc w:val="center"/>
      <w:outlineLvl w:val="0"/>
    </w:pPr>
    <w:rPr>
      <w:rFonts w:ascii="Cambria" w:hAnsi="Cambria"/>
      <w:b/>
      <w:bCs/>
      <w:sz w:val="32"/>
      <w:szCs w:val="32"/>
    </w:rPr>
  </w:style>
  <w:style w:type="paragraph" w:styleId="20">
    <w:name w:val="annotation subject"/>
    <w:basedOn w:val="7"/>
    <w:next w:val="7"/>
    <w:link w:val="61"/>
    <w:qFormat/>
    <w:uiPriority w:val="0"/>
    <w:rPr>
      <w:b/>
      <w:bCs/>
    </w:rPr>
  </w:style>
  <w:style w:type="character" w:styleId="23">
    <w:name w:val="Strong"/>
    <w:basedOn w:val="22"/>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character" w:customStyle="1" w:styleId="28">
    <w:name w:val="标题 1 Char"/>
    <w:basedOn w:val="22"/>
    <w:link w:val="3"/>
    <w:qFormat/>
    <w:uiPriority w:val="0"/>
    <w:rPr>
      <w:rFonts w:ascii="Calibri" w:hAnsi="Calibri"/>
      <w:b/>
      <w:bCs/>
      <w:kern w:val="44"/>
      <w:sz w:val="44"/>
      <w:szCs w:val="44"/>
    </w:rPr>
  </w:style>
  <w:style w:type="character" w:customStyle="1" w:styleId="29">
    <w:name w:val="标题 2 Char"/>
    <w:basedOn w:val="22"/>
    <w:link w:val="4"/>
    <w:qFormat/>
    <w:uiPriority w:val="0"/>
    <w:rPr>
      <w:rFonts w:ascii="Arial" w:hAnsi="Arial" w:eastAsia="黑体"/>
      <w:b/>
      <w:bCs/>
      <w:sz w:val="32"/>
      <w:szCs w:val="32"/>
    </w:rPr>
  </w:style>
  <w:style w:type="character" w:customStyle="1" w:styleId="30">
    <w:name w:val="标题 3 Char"/>
    <w:basedOn w:val="22"/>
    <w:link w:val="5"/>
    <w:qFormat/>
    <w:uiPriority w:val="0"/>
    <w:rPr>
      <w:rFonts w:ascii="Calibri" w:hAnsi="Calibri"/>
      <w:b/>
      <w:bCs/>
      <w:kern w:val="2"/>
      <w:sz w:val="32"/>
      <w:szCs w:val="32"/>
    </w:rPr>
  </w:style>
  <w:style w:type="character" w:customStyle="1" w:styleId="31">
    <w:name w:val="批注框文本 Char"/>
    <w:link w:val="13"/>
    <w:qFormat/>
    <w:uiPriority w:val="0"/>
    <w:rPr>
      <w:kern w:val="2"/>
      <w:sz w:val="18"/>
      <w:szCs w:val="18"/>
    </w:rPr>
  </w:style>
  <w:style w:type="character" w:customStyle="1" w:styleId="32">
    <w:name w:val="纯文本 Char1"/>
    <w:unhideWhenUsed/>
    <w:qFormat/>
    <w:uiPriority w:val="99"/>
    <w:rPr>
      <w:rFonts w:hint="eastAsia" w:ascii="宋体" w:hAnsi="Tms Rmn" w:eastAsia="宋体"/>
      <w:sz w:val="21"/>
      <w:lang w:val="en-US" w:eastAsia="zh-CN"/>
    </w:rPr>
  </w:style>
  <w:style w:type="character" w:customStyle="1" w:styleId="33">
    <w:name w:val="页眉 Char"/>
    <w:link w:val="15"/>
    <w:qFormat/>
    <w:uiPriority w:val="0"/>
    <w:rPr>
      <w:kern w:val="2"/>
      <w:sz w:val="18"/>
      <w:szCs w:val="18"/>
    </w:rPr>
  </w:style>
  <w:style w:type="character" w:customStyle="1" w:styleId="34">
    <w:name w:val="正文文本缩进 Char"/>
    <w:link w:val="8"/>
    <w:qFormat/>
    <w:uiPriority w:val="0"/>
    <w:rPr>
      <w:kern w:val="2"/>
      <w:sz w:val="21"/>
      <w:szCs w:val="24"/>
    </w:rPr>
  </w:style>
  <w:style w:type="character" w:customStyle="1" w:styleId="35">
    <w:name w:val="批注主题 Char"/>
    <w:link w:val="20"/>
    <w:qFormat/>
    <w:uiPriority w:val="0"/>
    <w:rPr>
      <w:b/>
      <w:bCs/>
      <w:kern w:val="2"/>
      <w:sz w:val="21"/>
      <w:szCs w:val="24"/>
    </w:rPr>
  </w:style>
  <w:style w:type="paragraph" w:customStyle="1" w:styleId="36">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7">
    <w:name w:val="apple-converted-space"/>
    <w:basedOn w:val="22"/>
    <w:qFormat/>
    <w:uiPriority w:val="0"/>
  </w:style>
  <w:style w:type="character" w:customStyle="1" w:styleId="38">
    <w:name w:val="纯文本 Char"/>
    <w:link w:val="10"/>
    <w:qFormat/>
    <w:locked/>
    <w:uiPriority w:val="0"/>
    <w:rPr>
      <w:rFonts w:ascii="宋体" w:hAnsi="Courier New" w:cs="Courier New"/>
      <w:kern w:val="2"/>
      <w:sz w:val="21"/>
      <w:szCs w:val="21"/>
    </w:rPr>
  </w:style>
  <w:style w:type="character" w:customStyle="1" w:styleId="39">
    <w:name w:val="日期 Char"/>
    <w:link w:val="11"/>
    <w:qFormat/>
    <w:uiPriority w:val="0"/>
    <w:rPr>
      <w:kern w:val="2"/>
      <w:sz w:val="21"/>
      <w:szCs w:val="24"/>
    </w:rPr>
  </w:style>
  <w:style w:type="character" w:customStyle="1" w:styleId="40">
    <w:name w:val="正文文本 Char"/>
    <w:link w:val="2"/>
    <w:qFormat/>
    <w:uiPriority w:val="0"/>
    <w:rPr>
      <w:kern w:val="2"/>
      <w:sz w:val="21"/>
      <w:szCs w:val="24"/>
    </w:rPr>
  </w:style>
  <w:style w:type="character" w:customStyle="1" w:styleId="41">
    <w:name w:val="标题 Char"/>
    <w:link w:val="19"/>
    <w:qFormat/>
    <w:locked/>
    <w:uiPriority w:val="0"/>
    <w:rPr>
      <w:rFonts w:ascii="Cambria" w:hAnsi="Cambria"/>
      <w:b/>
      <w:bCs/>
      <w:kern w:val="2"/>
      <w:sz w:val="32"/>
      <w:szCs w:val="32"/>
    </w:rPr>
  </w:style>
  <w:style w:type="character" w:customStyle="1" w:styleId="42">
    <w:name w:val="正文首行缩进两字符 Char Char"/>
    <w:link w:val="43"/>
    <w:qFormat/>
    <w:locked/>
    <w:uiPriority w:val="99"/>
    <w:rPr>
      <w:kern w:val="2"/>
      <w:sz w:val="21"/>
    </w:rPr>
  </w:style>
  <w:style w:type="paragraph" w:customStyle="1" w:styleId="43">
    <w:name w:val="正文首行缩进两字符"/>
    <w:basedOn w:val="1"/>
    <w:link w:val="42"/>
    <w:qFormat/>
    <w:uiPriority w:val="99"/>
    <w:pPr>
      <w:spacing w:line="360" w:lineRule="auto"/>
      <w:ind w:firstLine="200" w:firstLineChars="200"/>
    </w:pPr>
    <w:rPr>
      <w:rFonts w:ascii="Times New Roman" w:hAnsi="Times New Roman"/>
      <w:szCs w:val="20"/>
    </w:rPr>
  </w:style>
  <w:style w:type="character" w:customStyle="1" w:styleId="44">
    <w:name w:val="批注文字 Char"/>
    <w:link w:val="7"/>
    <w:qFormat/>
    <w:uiPriority w:val="0"/>
    <w:rPr>
      <w:kern w:val="2"/>
      <w:sz w:val="21"/>
      <w:szCs w:val="24"/>
    </w:rPr>
  </w:style>
  <w:style w:type="character" w:customStyle="1" w:styleId="45">
    <w:name w:val="NormalCharacter"/>
    <w:qFormat/>
    <w:uiPriority w:val="0"/>
  </w:style>
  <w:style w:type="character" w:customStyle="1" w:styleId="46">
    <w:name w:val="页脚 Char"/>
    <w:link w:val="14"/>
    <w:qFormat/>
    <w:uiPriority w:val="99"/>
    <w:rPr>
      <w:kern w:val="2"/>
      <w:sz w:val="18"/>
      <w:szCs w:val="18"/>
    </w:rPr>
  </w:style>
  <w:style w:type="paragraph" w:customStyle="1" w:styleId="47">
    <w:name w:val="中等深浅网格 1 - 着色 21"/>
    <w:basedOn w:val="1"/>
    <w:qFormat/>
    <w:uiPriority w:val="34"/>
    <w:pPr>
      <w:ind w:firstLine="420" w:firstLineChars="200"/>
    </w:pPr>
    <w:rPr>
      <w:sz w:val="20"/>
      <w:szCs w:val="20"/>
    </w:rPr>
  </w:style>
  <w:style w:type="paragraph" w:customStyle="1" w:styleId="48">
    <w:name w:val="图表左对齐"/>
    <w:basedOn w:val="1"/>
    <w:qFormat/>
    <w:uiPriority w:val="0"/>
    <w:pPr>
      <w:widowControl/>
      <w:spacing w:line="360" w:lineRule="exact"/>
      <w:jc w:val="left"/>
    </w:pPr>
    <w:rPr>
      <w:spacing w:val="-10"/>
      <w:kern w:val="0"/>
      <w:sz w:val="24"/>
      <w:szCs w:val="28"/>
    </w:rPr>
  </w:style>
  <w:style w:type="character" w:customStyle="1" w:styleId="49">
    <w:name w:val="正文文本 Char1"/>
    <w:basedOn w:val="22"/>
    <w:link w:val="2"/>
    <w:qFormat/>
    <w:uiPriority w:val="0"/>
    <w:rPr>
      <w:rFonts w:ascii="Calibri" w:hAnsi="Calibri"/>
      <w:kern w:val="2"/>
      <w:sz w:val="21"/>
      <w:szCs w:val="24"/>
    </w:rPr>
  </w:style>
  <w:style w:type="character" w:customStyle="1" w:styleId="50">
    <w:name w:val="正文文本缩进 Char1"/>
    <w:basedOn w:val="22"/>
    <w:link w:val="8"/>
    <w:qFormat/>
    <w:uiPriority w:val="0"/>
    <w:rPr>
      <w:rFonts w:ascii="Calibri" w:hAnsi="Calibri"/>
      <w:kern w:val="2"/>
      <w:sz w:val="21"/>
      <w:szCs w:val="24"/>
    </w:rPr>
  </w:style>
  <w:style w:type="paragraph" w:styleId="51">
    <w:name w:val="List Paragraph"/>
    <w:basedOn w:val="1"/>
    <w:qFormat/>
    <w:uiPriority w:val="34"/>
    <w:pPr>
      <w:ind w:firstLine="420" w:firstLineChars="200"/>
    </w:pPr>
  </w:style>
  <w:style w:type="paragraph" w:customStyle="1" w:styleId="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3">
    <w:name w:val="标题 Char1"/>
    <w:basedOn w:val="22"/>
    <w:link w:val="19"/>
    <w:qFormat/>
    <w:uiPriority w:val="0"/>
    <w:rPr>
      <w:rFonts w:asciiTheme="majorHAnsi" w:hAnsiTheme="majorHAnsi" w:cstheme="majorBidi"/>
      <w:b/>
      <w:bCs/>
      <w:kern w:val="2"/>
      <w:sz w:val="32"/>
      <w:szCs w:val="32"/>
    </w:rPr>
  </w:style>
  <w:style w:type="character" w:customStyle="1" w:styleId="54">
    <w:name w:val="正文文本缩进 2 Char"/>
    <w:basedOn w:val="22"/>
    <w:link w:val="12"/>
    <w:qFormat/>
    <w:uiPriority w:val="0"/>
    <w:rPr>
      <w:rFonts w:ascii="Calibri" w:hAnsi="Calibri"/>
      <w:kern w:val="2"/>
      <w:sz w:val="21"/>
      <w:szCs w:val="24"/>
    </w:rPr>
  </w:style>
  <w:style w:type="character" w:customStyle="1" w:styleId="55">
    <w:name w:val="日期 Char1"/>
    <w:basedOn w:val="22"/>
    <w:link w:val="11"/>
    <w:qFormat/>
    <w:uiPriority w:val="0"/>
    <w:rPr>
      <w:rFonts w:ascii="Calibri" w:hAnsi="Calibri"/>
      <w:kern w:val="2"/>
      <w:sz w:val="21"/>
      <w:szCs w:val="24"/>
    </w:rPr>
  </w:style>
  <w:style w:type="character" w:customStyle="1" w:styleId="56">
    <w:name w:val="批注文字 Char1"/>
    <w:basedOn w:val="22"/>
    <w:link w:val="7"/>
    <w:qFormat/>
    <w:uiPriority w:val="0"/>
    <w:rPr>
      <w:rFonts w:ascii="Calibri" w:hAnsi="Calibri"/>
      <w:kern w:val="2"/>
      <w:sz w:val="21"/>
      <w:szCs w:val="24"/>
    </w:rPr>
  </w:style>
  <w:style w:type="paragraph" w:customStyle="1" w:styleId="57">
    <w:name w:val="样式 首行缩进:  2 字符"/>
    <w:basedOn w:val="1"/>
    <w:qFormat/>
    <w:uiPriority w:val="0"/>
    <w:pPr>
      <w:spacing w:line="400" w:lineRule="exact"/>
      <w:ind w:firstLine="200" w:firstLineChars="200"/>
    </w:pPr>
    <w:rPr>
      <w:rFonts w:cs="宋体"/>
      <w:sz w:val="24"/>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Char1 Char Char Char Char Char Char"/>
    <w:basedOn w:val="1"/>
    <w:qFormat/>
    <w:uiPriority w:val="0"/>
    <w:rPr>
      <w:rFonts w:ascii="Tahoma" w:hAnsi="Tahoma"/>
      <w:sz w:val="24"/>
      <w:szCs w:val="20"/>
    </w:rPr>
  </w:style>
  <w:style w:type="paragraph" w:customStyle="1" w:styleId="60">
    <w:name w:val="p0"/>
    <w:basedOn w:val="1"/>
    <w:qFormat/>
    <w:uiPriority w:val="99"/>
    <w:pPr>
      <w:widowControl/>
    </w:pPr>
    <w:rPr>
      <w:kern w:val="0"/>
      <w:szCs w:val="20"/>
    </w:rPr>
  </w:style>
  <w:style w:type="character" w:customStyle="1" w:styleId="61">
    <w:name w:val="批注主题 Char1"/>
    <w:basedOn w:val="56"/>
    <w:link w:val="20"/>
    <w:qFormat/>
    <w:uiPriority w:val="0"/>
    <w:rPr>
      <w:b/>
      <w:bCs/>
    </w:rPr>
  </w:style>
  <w:style w:type="paragraph" w:customStyle="1" w:styleId="6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3">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4">
    <w:name w:val="页脚 Char1"/>
    <w:basedOn w:val="22"/>
    <w:link w:val="14"/>
    <w:qFormat/>
    <w:uiPriority w:val="0"/>
    <w:rPr>
      <w:rFonts w:ascii="Calibri" w:hAnsi="Calibri"/>
      <w:kern w:val="2"/>
      <w:sz w:val="18"/>
      <w:szCs w:val="18"/>
    </w:rPr>
  </w:style>
  <w:style w:type="character" w:customStyle="1" w:styleId="65">
    <w:name w:val="批注框文本 Char1"/>
    <w:basedOn w:val="22"/>
    <w:link w:val="13"/>
    <w:qFormat/>
    <w:uiPriority w:val="0"/>
    <w:rPr>
      <w:rFonts w:ascii="Calibri" w:hAnsi="Calibri"/>
      <w:kern w:val="2"/>
      <w:sz w:val="18"/>
      <w:szCs w:val="18"/>
    </w:rPr>
  </w:style>
  <w:style w:type="character" w:customStyle="1" w:styleId="66">
    <w:name w:val="纯文本 Char2"/>
    <w:basedOn w:val="22"/>
    <w:link w:val="10"/>
    <w:qFormat/>
    <w:uiPriority w:val="0"/>
    <w:rPr>
      <w:rFonts w:ascii="宋体" w:hAnsi="Courier New" w:cs="Courier New"/>
      <w:kern w:val="2"/>
      <w:sz w:val="21"/>
      <w:szCs w:val="21"/>
    </w:rPr>
  </w:style>
  <w:style w:type="paragraph" w:customStyle="1" w:styleId="67">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8">
    <w:name w:val="页眉 Char1"/>
    <w:basedOn w:val="22"/>
    <w:link w:val="15"/>
    <w:qFormat/>
    <w:uiPriority w:val="0"/>
    <w:rPr>
      <w:rFonts w:ascii="Calibri" w:hAnsi="Calibri"/>
      <w:kern w:val="2"/>
      <w:sz w:val="18"/>
      <w:szCs w:val="18"/>
    </w:rPr>
  </w:style>
  <w:style w:type="paragraph" w:customStyle="1" w:styleId="6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0">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2">
    <w:name w:val="列出段落1"/>
    <w:basedOn w:val="1"/>
    <w:qFormat/>
    <w:uiPriority w:val="0"/>
    <w:pPr>
      <w:ind w:firstLine="420" w:firstLineChars="200"/>
    </w:pPr>
    <w:rPr>
      <w:rFonts w:ascii="Calibri" w:hAnsi="Calibri"/>
      <w:szCs w:val="22"/>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4">
    <w:name w:val="表格"/>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531EB37-0565-4CF3-9D3C-47B6C5901D15}">
  <ds:schemaRefs/>
</ds:datastoreItem>
</file>

<file path=customXml/itemProps2.xml><?xml version="1.0" encoding="utf-8"?>
<ds:datastoreItem xmlns:ds="http://schemas.openxmlformats.org/officeDocument/2006/customXml" ds:itemID="{E6DDDA7F-0647-4543-B92C-DE0A19B5D4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13947</Words>
  <Characters>14543</Characters>
  <Lines>102</Lines>
  <Paragraphs>28</Paragraphs>
  <TotalTime>0</TotalTime>
  <ScaleCrop>false</ScaleCrop>
  <LinksUpToDate>false</LinksUpToDate>
  <CharactersWithSpaces>16092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燕子</cp:lastModifiedBy>
  <dcterms:modified xsi:type="dcterms:W3CDTF">2023-07-05T07:41:32Z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F43260EA7D044F58AE47754BF9C4C356</vt:lpwstr>
  </property>
</Properties>
</file>