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b/>
          <w:bCs/>
          <w:sz w:val="24"/>
        </w:rPr>
      </w:pPr>
      <w:r>
        <w:rPr>
          <w:rFonts w:hint="eastAsia" w:ascii="Times New Roman" w:hAnsi="Times New Roman"/>
          <w:sz w:val="32"/>
          <w:szCs w:val="32"/>
        </w:rPr>
        <w:t>关于</w:t>
      </w:r>
      <w:r>
        <w:rPr>
          <w:rFonts w:hint="eastAsia" w:ascii="Times New Roman" w:hAnsi="Times New Roman"/>
          <w:sz w:val="32"/>
          <w:szCs w:val="32"/>
          <w:lang w:eastAsia="zh-CN"/>
        </w:rPr>
        <w:t>门急诊综合楼制氧机房制冷设备</w:t>
      </w:r>
      <w:r>
        <w:rPr>
          <w:rFonts w:hint="eastAsia" w:ascii="Times New Roman" w:hAnsi="Times New Roman"/>
          <w:sz w:val="32"/>
          <w:szCs w:val="32"/>
        </w:rPr>
        <w:t>的采购公告</w:t>
      </w:r>
    </w:p>
    <w:p>
      <w:pPr>
        <w:keepNext w:val="0"/>
        <w:keepLines w:val="0"/>
        <w:pageBreakBefore w:val="0"/>
        <w:widowControl w:val="0"/>
        <w:kinsoku/>
        <w:wordWrap/>
        <w:overflowPunct/>
        <w:topLinePunct w:val="0"/>
        <w:bidi w:val="0"/>
        <w:snapToGrid/>
        <w:spacing w:line="44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门急诊综合楼制氧机房制冷设备，</w:t>
      </w:r>
      <w:r>
        <w:rPr>
          <w:rFonts w:hint="eastAsia" w:ascii="Times New Roman" w:hAnsi="Times New Roman"/>
          <w:color w:val="000000"/>
          <w:sz w:val="24"/>
          <w:szCs w:val="24"/>
        </w:rPr>
        <w:t>兹以公告方式邀请符合要求的供应商参加比选。</w:t>
      </w:r>
    </w:p>
    <w:p>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三台县人民医院门急诊综合楼制氧机房制冷设备采购项目</w:t>
      </w:r>
    </w:p>
    <w:p>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eastAsia" w:ascii="Times New Roman" w:hAnsi="Times New Roman"/>
          <w:b/>
          <w:bCs/>
          <w:sz w:val="24"/>
          <w:szCs w:val="24"/>
        </w:rPr>
      </w:pPr>
      <w:r>
        <w:rPr>
          <w:rFonts w:hint="eastAsia" w:ascii="Times New Roman" w:hAnsi="Times New Roman"/>
          <w:b/>
          <w:bCs/>
          <w:sz w:val="24"/>
          <w:szCs w:val="24"/>
          <w:lang w:eastAsia="zh-CN"/>
        </w:rPr>
        <w:t>二、</w:t>
      </w:r>
      <w:r>
        <w:rPr>
          <w:rFonts w:hint="eastAsia" w:ascii="Times New Roman" w:hAnsi="Times New Roman"/>
          <w:b/>
          <w:bCs/>
          <w:sz w:val="24"/>
          <w:szCs w:val="24"/>
        </w:rPr>
        <w:t>项目概况</w:t>
      </w:r>
    </w:p>
    <w:p>
      <w:pPr>
        <w:pStyle w:val="2"/>
        <w:keepNext w:val="0"/>
        <w:keepLines w:val="0"/>
        <w:pageBreakBefore w:val="0"/>
        <w:widowControl w:val="0"/>
        <w:kinsoku/>
        <w:wordWrap/>
        <w:overflowPunct/>
        <w:topLinePunct w:val="0"/>
        <w:bidi w:val="0"/>
        <w:snapToGrid/>
        <w:spacing w:line="440" w:lineRule="exact"/>
        <w:ind w:firstLine="480" w:firstLineChars="200"/>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门急诊综合楼楼顶制氧机机房，日照时间长，夏天机房内温度高，4台制氧机运行时也会大量产热，为保证制氧机安全、稳定运行，需保障机房内适宜温度控制在26℃以下，拟为制氧机房安装制冷设备</w:t>
      </w:r>
      <w:r>
        <w:rPr>
          <w:rFonts w:hint="eastAsia" w:cs="Times New Roman"/>
          <w:color w:val="000000"/>
          <w:kern w:val="2"/>
          <w:sz w:val="24"/>
          <w:szCs w:val="24"/>
          <w:lang w:val="en-US" w:eastAsia="zh-CN" w:bidi="ar-SA"/>
        </w:rPr>
        <w:t>，本次采购限价：11.9万元。</w:t>
      </w:r>
    </w:p>
    <w:p>
      <w:pPr>
        <w:keepNext w:val="0"/>
        <w:keepLines w:val="0"/>
        <w:pageBreakBefore w:val="0"/>
        <w:widowControl w:val="0"/>
        <w:kinsoku/>
        <w:wordWrap/>
        <w:overflowPunct/>
        <w:topLinePunct w:val="0"/>
        <w:autoSpaceDE w:val="0"/>
        <w:autoSpaceDN w:val="0"/>
        <w:bidi w:val="0"/>
        <w:adjustRightInd w:val="0"/>
        <w:snapToGrid/>
        <w:spacing w:line="440" w:lineRule="exact"/>
        <w:ind w:left="1"/>
        <w:contextualSpacing/>
        <w:textAlignment w:val="auto"/>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ascii="Times New Roman" w:hAnsi="Times New Roman"/>
          <w:color w:val="auto"/>
          <w:sz w:val="24"/>
          <w:szCs w:val="24"/>
          <w:lang w:val="en-US" w:eastAsia="zh-CN"/>
        </w:rPr>
        <w:t>12</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7</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14</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keepNext w:val="0"/>
        <w:keepLines w:val="0"/>
        <w:pageBreakBefore w:val="0"/>
        <w:widowControl w:val="0"/>
        <w:kinsoku/>
        <w:wordWrap/>
        <w:overflowPunct/>
        <w:topLinePunct w:val="0"/>
        <w:bidi w:val="0"/>
        <w:snapToGrid/>
        <w:spacing w:line="440" w:lineRule="exact"/>
        <w:textAlignment w:val="auto"/>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ascii="Times New Roman" w:hAnsi="Times New Roman"/>
          <w:color w:val="auto"/>
          <w:sz w:val="24"/>
          <w:szCs w:val="24"/>
          <w:lang w:val="en-US" w:eastAsia="zh-CN"/>
        </w:rPr>
        <w:t>19</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keepNext w:val="0"/>
        <w:keepLines w:val="0"/>
        <w:pageBreakBefore w:val="0"/>
        <w:widowControl w:val="0"/>
        <w:kinsoku/>
        <w:wordWrap/>
        <w:overflowPunct/>
        <w:topLinePunct w:val="0"/>
        <w:bidi w:val="0"/>
        <w:snapToGrid/>
        <w:spacing w:line="440" w:lineRule="exact"/>
        <w:textAlignment w:val="auto"/>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keepNext w:val="0"/>
        <w:keepLines w:val="0"/>
        <w:pageBreakBefore w:val="0"/>
        <w:widowControl w:val="0"/>
        <w:kinsoku/>
        <w:wordWrap/>
        <w:overflowPunct/>
        <w:topLinePunct w:val="0"/>
        <w:bidi w:val="0"/>
        <w:snapToGrid/>
        <w:spacing w:line="440" w:lineRule="exact"/>
        <w:textAlignment w:val="auto"/>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19</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keepNext w:val="0"/>
        <w:keepLines w:val="0"/>
        <w:pageBreakBefore w:val="0"/>
        <w:widowControl w:val="0"/>
        <w:kinsoku/>
        <w:wordWrap/>
        <w:overflowPunct/>
        <w:topLinePunct w:val="0"/>
        <w:bidi w:val="0"/>
        <w:snapToGrid/>
        <w:spacing w:line="440" w:lineRule="exact"/>
        <w:textAlignment w:val="auto"/>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p>
    <w:p>
      <w:pPr>
        <w:keepNext w:val="0"/>
        <w:keepLines w:val="0"/>
        <w:pageBreakBefore w:val="0"/>
        <w:widowControl w:val="0"/>
        <w:kinsoku/>
        <w:wordWrap/>
        <w:overflowPunct/>
        <w:topLinePunct w:val="0"/>
        <w:bidi w:val="0"/>
        <w:snapToGrid/>
        <w:spacing w:line="440" w:lineRule="exact"/>
        <w:textAlignment w:val="auto"/>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keepNext w:val="0"/>
        <w:keepLines w:val="0"/>
        <w:pageBreakBefore w:val="0"/>
        <w:widowControl w:val="0"/>
        <w:kinsoku/>
        <w:wordWrap/>
        <w:overflowPunct/>
        <w:topLinePunct w:val="0"/>
        <w:bidi w:val="0"/>
        <w:snapToGrid/>
        <w:spacing w:line="440" w:lineRule="exact"/>
        <w:textAlignment w:val="auto"/>
        <w:rPr>
          <w:rFonts w:hint="eastAsia" w:ascii="Times New Roman" w:hAnsi="Times New Roman"/>
          <w:b/>
          <w:bCs/>
          <w:color w:val="auto"/>
          <w:sz w:val="24"/>
          <w:szCs w:val="24"/>
        </w:rPr>
      </w:pPr>
      <w:r>
        <w:rPr>
          <w:rFonts w:hint="eastAsia" w:ascii="Times New Roman" w:hAnsi="Times New Roman"/>
          <w:b/>
          <w:bCs/>
          <w:color w:val="auto"/>
          <w:sz w:val="24"/>
          <w:szCs w:val="24"/>
        </w:rPr>
        <w:t>九、</w:t>
      </w:r>
      <w:r>
        <w:rPr>
          <w:rFonts w:hint="eastAsia" w:ascii="Times New Roman" w:hAnsi="Times New Roman"/>
          <w:b/>
          <w:bCs/>
          <w:color w:val="auto"/>
          <w:sz w:val="24"/>
          <w:szCs w:val="24"/>
          <w:lang w:eastAsia="zh-CN"/>
        </w:rPr>
        <w:t>项目</w:t>
      </w:r>
      <w:r>
        <w:rPr>
          <w:rFonts w:hint="eastAsia" w:ascii="Times New Roman" w:hAnsi="Times New Roman"/>
          <w:b/>
          <w:bCs/>
          <w:color w:val="auto"/>
          <w:sz w:val="24"/>
          <w:szCs w:val="24"/>
        </w:rPr>
        <w:t>咨询</w:t>
      </w:r>
      <w:r>
        <w:rPr>
          <w:rFonts w:hint="eastAsia" w:ascii="Times New Roman" w:hAnsi="Times New Roman"/>
          <w:b/>
          <w:bCs/>
          <w:color w:val="auto"/>
          <w:sz w:val="24"/>
          <w:szCs w:val="24"/>
          <w:lang w:eastAsia="zh-CN"/>
        </w:rPr>
        <w:t>人</w:t>
      </w:r>
      <w:r>
        <w:rPr>
          <w:rFonts w:hint="eastAsia" w:ascii="Times New Roman" w:hAnsi="Times New Roman"/>
          <w:b/>
          <w:bCs/>
          <w:color w:val="auto"/>
          <w:sz w:val="24"/>
          <w:szCs w:val="24"/>
        </w:rPr>
        <w:t>：</w:t>
      </w:r>
      <w:r>
        <w:rPr>
          <w:rFonts w:hint="eastAsia" w:ascii="Times New Roman" w:hAnsi="Times New Roman"/>
          <w:b w:val="0"/>
          <w:bCs w:val="0"/>
          <w:color w:val="auto"/>
          <w:sz w:val="24"/>
          <w:szCs w:val="24"/>
          <w:lang w:eastAsia="zh-CN"/>
        </w:rPr>
        <w:t>刘</w:t>
      </w:r>
      <w:r>
        <w:rPr>
          <w:rFonts w:hint="eastAsia" w:ascii="Times New Roman" w:hAnsi="Times New Roman"/>
          <w:b w:val="0"/>
          <w:bCs w:val="0"/>
          <w:color w:val="auto"/>
          <w:sz w:val="24"/>
          <w:szCs w:val="24"/>
        </w:rPr>
        <w:t>老师—15984652382</w:t>
      </w:r>
      <w:bookmarkStart w:id="51" w:name="_GoBack"/>
      <w:bookmarkEnd w:id="51"/>
    </w:p>
    <w:p>
      <w:pPr>
        <w:keepNext w:val="0"/>
        <w:keepLines w:val="0"/>
        <w:pageBreakBefore w:val="0"/>
        <w:widowControl w:val="0"/>
        <w:kinsoku/>
        <w:wordWrap/>
        <w:overflowPunct/>
        <w:topLinePunct w:val="0"/>
        <w:bidi w:val="0"/>
        <w:snapToGrid/>
        <w:spacing w:line="440" w:lineRule="exact"/>
        <w:textAlignment w:val="auto"/>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pPr>
        <w:keepNext w:val="0"/>
        <w:keepLines w:val="0"/>
        <w:pageBreakBefore w:val="0"/>
        <w:widowControl w:val="0"/>
        <w:kinsoku/>
        <w:wordWrap/>
        <w:overflowPunct/>
        <w:topLinePunct w:val="0"/>
        <w:bidi w:val="0"/>
        <w:snapToGrid/>
        <w:spacing w:line="440" w:lineRule="exact"/>
        <w:jc w:val="right"/>
        <w:textAlignment w:val="auto"/>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keepNext w:val="0"/>
        <w:keepLines w:val="0"/>
        <w:pageBreakBefore w:val="0"/>
        <w:widowControl w:val="0"/>
        <w:kinsoku/>
        <w:wordWrap/>
        <w:overflowPunct/>
        <w:topLinePunct w:val="0"/>
        <w:bidi w:val="0"/>
        <w:snapToGrid/>
        <w:spacing w:line="440" w:lineRule="exact"/>
        <w:jc w:val="right"/>
        <w:textAlignment w:val="auto"/>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pageBreakBefore w:val="0"/>
        <w:kinsoku/>
        <w:wordWrap/>
        <w:overflowPunct/>
        <w:topLinePunct w:val="0"/>
        <w:bidi w:val="0"/>
        <w:snapToGrid/>
        <w:spacing w:before="0" w:after="0" w:line="42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3"/>
        <w:pageBreakBefore w:val="0"/>
        <w:kinsoku/>
        <w:wordWrap/>
        <w:overflowPunct/>
        <w:topLinePunct w:val="0"/>
        <w:bidi w:val="0"/>
        <w:snapToGrid/>
        <w:spacing w:before="0" w:after="0" w:line="42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42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门急诊综合楼制氧机房制冷设备</w:t>
      </w:r>
      <w:r>
        <w:rPr>
          <w:rFonts w:hint="eastAsia" w:ascii="Times New Roman" w:hAnsi="Times New Roman"/>
          <w:color w:val="auto"/>
          <w:sz w:val="32"/>
          <w:szCs w:val="32"/>
          <w:lang w:eastAsia="zh-CN"/>
        </w:rPr>
        <w:t>采购的比选文件</w:t>
      </w:r>
    </w:p>
    <w:p>
      <w:pPr>
        <w:pStyle w:val="3"/>
        <w:pageBreakBefore w:val="0"/>
        <w:kinsoku/>
        <w:wordWrap/>
        <w:overflowPunct/>
        <w:topLinePunct w:val="0"/>
        <w:bidi w:val="0"/>
        <w:snapToGrid/>
        <w:spacing w:before="0" w:after="0" w:line="42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keepNext w:val="0"/>
        <w:keepLines w:val="0"/>
        <w:pageBreakBefore w:val="0"/>
        <w:kinsoku/>
        <w:wordWrap/>
        <w:overflowPunct/>
        <w:topLinePunct w:val="0"/>
        <w:bidi w:val="0"/>
        <w:snapToGrid/>
        <w:spacing w:line="44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keepNext w:val="0"/>
        <w:keepLines w:val="0"/>
        <w:pageBreakBefore w:val="0"/>
        <w:numPr>
          <w:ilvl w:val="0"/>
          <w:numId w:val="0"/>
        </w:numPr>
        <w:kinsoku/>
        <w:wordWrap/>
        <w:overflowPunct/>
        <w:topLinePunct w:val="0"/>
        <w:bidi w:val="0"/>
        <w:snapToGrid/>
        <w:spacing w:line="440" w:lineRule="exact"/>
        <w:ind w:leftChars="0" w:firstLine="480" w:firstLineChars="200"/>
        <w:textAlignment w:val="auto"/>
        <w:rPr>
          <w:rFonts w:hint="eastAsia" w:ascii="Times New Roman" w:hAnsi="Times New Roman"/>
          <w:color w:val="000000"/>
          <w:sz w:val="24"/>
          <w:szCs w:val="24"/>
        </w:rPr>
      </w:pPr>
      <w:r>
        <w:rPr>
          <w:rFonts w:hint="eastAsia" w:ascii="Times New Roman" w:hAnsi="Times New Roman"/>
          <w:color w:val="000000"/>
          <w:sz w:val="24"/>
          <w:szCs w:val="24"/>
        </w:rPr>
        <w:t>经医院研究，决定采购门急诊综合楼制氧机房制冷设备，兹以公告方式邀请符合要求的供应商参加比选。</w:t>
      </w:r>
    </w:p>
    <w:p>
      <w:pPr>
        <w:keepNext w:val="0"/>
        <w:keepLines w:val="0"/>
        <w:pageBreakBefore w:val="0"/>
        <w:numPr>
          <w:ilvl w:val="0"/>
          <w:numId w:val="0"/>
        </w:numPr>
        <w:kinsoku/>
        <w:wordWrap/>
        <w:overflowPunct/>
        <w:topLinePunct w:val="0"/>
        <w:bidi w:val="0"/>
        <w:snapToGrid/>
        <w:spacing w:line="440" w:lineRule="exact"/>
        <w:ind w:leftChars="0"/>
        <w:textAlignment w:val="auto"/>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三台县人民医院门急诊综合楼制氧机房制冷设备采购项目</w:t>
      </w:r>
    </w:p>
    <w:p>
      <w:pPr>
        <w:keepNext w:val="0"/>
        <w:keepLines w:val="0"/>
        <w:pageBreakBefore w:val="0"/>
        <w:numPr>
          <w:ilvl w:val="0"/>
          <w:numId w:val="0"/>
        </w:numPr>
        <w:kinsoku/>
        <w:wordWrap/>
        <w:overflowPunct/>
        <w:topLinePunct w:val="0"/>
        <w:bidi w:val="0"/>
        <w:snapToGrid/>
        <w:spacing w:line="44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p>
      <w:pPr>
        <w:pStyle w:val="2"/>
        <w:keepNext w:val="0"/>
        <w:keepLines w:val="0"/>
        <w:pageBreakBefore w:val="0"/>
        <w:widowControl w:val="0"/>
        <w:kinsoku/>
        <w:wordWrap/>
        <w:overflowPunct/>
        <w:topLinePunct w:val="0"/>
        <w:bidi w:val="0"/>
        <w:snapToGrid/>
        <w:spacing w:line="440" w:lineRule="exact"/>
        <w:ind w:firstLine="480" w:firstLineChars="200"/>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门急诊综合楼楼顶制氧机机房，日照时间长，夏天机房内温度高，4台制氧机运行时也会大量产热，为保证制氧机安全、稳定运行，需保障机房内适宜温度控制在26℃以下，拟为制氧机房安装制冷设备</w:t>
      </w:r>
      <w:r>
        <w:rPr>
          <w:rFonts w:hint="eastAsia" w:cs="Times New Roman"/>
          <w:color w:val="000000"/>
          <w:kern w:val="2"/>
          <w:sz w:val="24"/>
          <w:szCs w:val="24"/>
          <w:lang w:val="en-US" w:eastAsia="zh-CN" w:bidi="ar-SA"/>
        </w:rPr>
        <w:t>，本次采购限价：11.9万元。</w:t>
      </w:r>
    </w:p>
    <w:p>
      <w:pPr>
        <w:keepNext w:val="0"/>
        <w:keepLines w:val="0"/>
        <w:pageBreakBefore w:val="0"/>
        <w:numPr>
          <w:ilvl w:val="0"/>
          <w:numId w:val="0"/>
        </w:numPr>
        <w:kinsoku/>
        <w:wordWrap/>
        <w:overflowPunct/>
        <w:topLinePunct w:val="0"/>
        <w:bidi w:val="0"/>
        <w:snapToGrid/>
        <w:spacing w:line="44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zh-CN"/>
        </w:rPr>
        <w:t>、</w:t>
      </w:r>
      <w:r>
        <w:rPr>
          <w:rFonts w:ascii="Times New Roman" w:hAnsi="Times New Roman"/>
          <w:kern w:val="0"/>
          <w:sz w:val="24"/>
          <w:szCs w:val="24"/>
          <w:lang w:val="zh-CN"/>
        </w:rPr>
        <w:t>法定代表人授权委托书；</w:t>
      </w:r>
    </w:p>
    <w:p>
      <w:pPr>
        <w:pStyle w:val="2"/>
        <w:keepNext w:val="0"/>
        <w:keepLines w:val="0"/>
        <w:pageBreakBefore w:val="0"/>
        <w:kinsoku/>
        <w:wordWrap/>
        <w:overflowPunct/>
        <w:topLinePunct w:val="0"/>
        <w:bidi w:val="0"/>
        <w:snapToGrid/>
        <w:spacing w:line="440" w:lineRule="exact"/>
        <w:textAlignment w:val="auto"/>
        <w:rPr>
          <w:rFonts w:ascii="Times New Roman" w:hAnsi="Times New Roman" w:eastAsia="宋体" w:cs="Times New Roman"/>
          <w:kern w:val="0"/>
          <w:sz w:val="24"/>
          <w:szCs w:val="24"/>
          <w:lang w:val="zh-CN" w:eastAsia="zh-CN" w:bidi="ar-SA"/>
        </w:rPr>
      </w:pPr>
      <w:r>
        <w:rPr>
          <w:rFonts w:hint="eastAsia" w:ascii="Times New Roman" w:hAnsi="Times New Roman" w:eastAsia="宋体" w:cs="Times New Roman"/>
          <w:kern w:val="0"/>
          <w:sz w:val="24"/>
          <w:szCs w:val="24"/>
          <w:lang w:val="zh-CN" w:eastAsia="zh-CN" w:bidi="ar-SA"/>
        </w:rPr>
        <w:t>8</w:t>
      </w:r>
      <w:r>
        <w:rPr>
          <w:rFonts w:hint="eastAsia" w:cs="Times New Roman"/>
          <w:kern w:val="0"/>
          <w:sz w:val="24"/>
          <w:szCs w:val="24"/>
          <w:lang w:val="zh-CN" w:eastAsia="zh-CN" w:bidi="ar-SA"/>
        </w:rPr>
        <w:t>、</w:t>
      </w:r>
      <w:r>
        <w:rPr>
          <w:rFonts w:hint="eastAsia" w:ascii="Times New Roman" w:hAnsi="Times New Roman" w:eastAsia="宋体" w:cs="Times New Roman"/>
          <w:kern w:val="0"/>
          <w:sz w:val="24"/>
          <w:szCs w:val="24"/>
          <w:lang w:val="zh-CN" w:eastAsia="zh-CN" w:bidi="ar-SA"/>
        </w:rPr>
        <w:t>供应商及其现任法定代表人、主要负责人不得具有行贿犯罪记录。</w:t>
      </w:r>
    </w:p>
    <w:p>
      <w:pPr>
        <w:keepNext w:val="0"/>
        <w:keepLines w:val="0"/>
        <w:pageBreakBefore w:val="0"/>
        <w:kinsoku/>
        <w:wordWrap/>
        <w:overflowPunct/>
        <w:topLinePunct w:val="0"/>
        <w:autoSpaceDE w:val="0"/>
        <w:autoSpaceDN w:val="0"/>
        <w:bidi w:val="0"/>
        <w:adjustRightInd w:val="0"/>
        <w:snapToGrid/>
        <w:spacing w:line="44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7、法定代表人/单位负责人授权委托书（法定代表人/单位负责人或自然人直接参与投标的除外）。</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hint="eastAsia"/>
          <w:kern w:val="0"/>
          <w:sz w:val="24"/>
          <w:szCs w:val="24"/>
          <w:lang w:val="en-US" w:eastAsia="zh-CN"/>
        </w:rPr>
        <w:t>8、</w:t>
      </w:r>
      <w:r>
        <w:rPr>
          <w:rFonts w:ascii="Times New Roman" w:hAnsi="Times New Roman"/>
          <w:kern w:val="0"/>
          <w:sz w:val="24"/>
          <w:szCs w:val="24"/>
          <w:lang w:val="zh-CN"/>
        </w:rPr>
        <w:t>提供参加本次比选采购活动前三年内，在经营活动中</w:t>
      </w:r>
      <w:r>
        <w:rPr>
          <w:rFonts w:hint="eastAsia" w:ascii="Times New Roman" w:hAnsi="Times New Roman"/>
          <w:kern w:val="0"/>
          <w:sz w:val="24"/>
          <w:szCs w:val="24"/>
          <w:lang w:val="zh-CN"/>
        </w:rPr>
        <w:t>没有行贿犯罪记录的承诺函</w:t>
      </w:r>
      <w:r>
        <w:rPr>
          <w:rFonts w:ascii="Times New Roman" w:hAnsi="Times New Roman"/>
          <w:kern w:val="0"/>
          <w:sz w:val="24"/>
          <w:szCs w:val="24"/>
          <w:lang w:val="zh-CN"/>
        </w:rPr>
        <w:t>（公司成立不足三年的从成立之日起算）。</w:t>
      </w:r>
    </w:p>
    <w:p>
      <w:pPr>
        <w:keepNext w:val="0"/>
        <w:keepLines w:val="0"/>
        <w:pageBreakBefore w:val="0"/>
        <w:kinsoku/>
        <w:wordWrap/>
        <w:overflowPunct/>
        <w:topLinePunct w:val="0"/>
        <w:bidi w:val="0"/>
        <w:snapToGrid/>
        <w:spacing w:line="440" w:lineRule="exact"/>
        <w:textAlignment w:val="auto"/>
        <w:rPr>
          <w:rFonts w:hint="eastAsia" w:ascii="Times New Roman" w:hAnsi="Times New Roman" w:eastAsia="宋体"/>
          <w:kern w:val="0"/>
          <w:sz w:val="24"/>
          <w:szCs w:val="24"/>
          <w:lang w:val="en-US" w:eastAsia="zh-CN"/>
        </w:rPr>
      </w:pP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12</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7</w:t>
      </w:r>
      <w:r>
        <w:rPr>
          <w:rFonts w:hint="eastAsia" w:ascii="Times New Roman" w:hAnsi="Times New Roman"/>
          <w:sz w:val="24"/>
          <w:szCs w:val="24"/>
        </w:rPr>
        <w:t>月</w:t>
      </w:r>
      <w:r>
        <w:rPr>
          <w:rFonts w:hint="eastAsia" w:ascii="Times New Roman" w:hAnsi="Times New Roman"/>
          <w:sz w:val="24"/>
          <w:szCs w:val="24"/>
          <w:lang w:val="en-US" w:eastAsia="zh-CN"/>
        </w:rPr>
        <w:t>14</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keepNext w:val="0"/>
        <w:keepLines w:val="0"/>
        <w:pageBreakBefore w:val="0"/>
        <w:kinsoku/>
        <w:wordWrap/>
        <w:overflowPunct/>
        <w:topLinePunct w:val="0"/>
        <w:bidi w:val="0"/>
        <w:snapToGrid/>
        <w:spacing w:line="44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19</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keepNext w:val="0"/>
        <w:keepLines w:val="0"/>
        <w:pageBreakBefore w:val="0"/>
        <w:kinsoku/>
        <w:wordWrap/>
        <w:overflowPunct/>
        <w:topLinePunct w:val="0"/>
        <w:bidi w:val="0"/>
        <w:snapToGrid/>
        <w:spacing w:line="44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keepNext w:val="0"/>
        <w:keepLines w:val="0"/>
        <w:pageBreakBefore w:val="0"/>
        <w:kinsoku/>
        <w:wordWrap/>
        <w:overflowPunct/>
        <w:topLinePunct w:val="0"/>
        <w:bidi w:val="0"/>
        <w:snapToGrid/>
        <w:spacing w:line="44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4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keepNext w:val="0"/>
        <w:keepLines w:val="0"/>
        <w:pageBreakBefore w:val="0"/>
        <w:kinsoku/>
        <w:wordWrap/>
        <w:overflowPunct/>
        <w:topLinePunct w:val="0"/>
        <w:bidi w:val="0"/>
        <w:snapToGrid/>
        <w:spacing w:line="44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keepNext w:val="0"/>
        <w:keepLines w:val="0"/>
        <w:pageBreakBefore w:val="0"/>
        <w:kinsoku/>
        <w:wordWrap/>
        <w:overflowPunct/>
        <w:topLinePunct w:val="0"/>
        <w:bidi w:val="0"/>
        <w:snapToGrid/>
        <w:spacing w:line="44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7</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19</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keepNext w:val="0"/>
        <w:keepLines w:val="0"/>
        <w:pageBreakBefore w:val="0"/>
        <w:kinsoku/>
        <w:wordWrap/>
        <w:overflowPunct/>
        <w:topLinePunct w:val="0"/>
        <w:bidi w:val="0"/>
        <w:snapToGrid/>
        <w:spacing w:line="44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eastAsia="zh-CN"/>
        </w:rPr>
        <w:t>二</w:t>
      </w:r>
      <w:r>
        <w:rPr>
          <w:rFonts w:hint="eastAsia" w:ascii="Times New Roman" w:hAnsi="Times New Roman"/>
          <w:b w:val="0"/>
          <w:bCs/>
          <w:sz w:val="24"/>
          <w:szCs w:val="24"/>
        </w:rPr>
        <w:t>楼会议室</w:t>
      </w:r>
    </w:p>
    <w:p>
      <w:pPr>
        <w:keepNext w:val="0"/>
        <w:keepLines w:val="0"/>
        <w:pageBreakBefore w:val="0"/>
        <w:kinsoku/>
        <w:wordWrap/>
        <w:overflowPunct/>
        <w:topLinePunct w:val="0"/>
        <w:bidi w:val="0"/>
        <w:snapToGrid/>
        <w:spacing w:line="44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keepNext w:val="0"/>
        <w:keepLines w:val="0"/>
        <w:pageBreakBefore w:val="0"/>
        <w:kinsoku/>
        <w:wordWrap/>
        <w:overflowPunct/>
        <w:topLinePunct w:val="0"/>
        <w:bidi w:val="0"/>
        <w:snapToGrid/>
        <w:spacing w:line="44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keepNext w:val="0"/>
        <w:keepLines w:val="0"/>
        <w:pageBreakBefore w:val="0"/>
        <w:tabs>
          <w:tab w:val="left" w:pos="2310"/>
        </w:tabs>
        <w:kinsoku/>
        <w:wordWrap/>
        <w:overflowPunct/>
        <w:topLinePunct w:val="0"/>
        <w:bidi w:val="0"/>
        <w:snapToGrid/>
        <w:spacing w:line="44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keepNext w:val="0"/>
        <w:keepLines w:val="0"/>
        <w:pageBreakBefore w:val="0"/>
        <w:kinsoku/>
        <w:wordWrap/>
        <w:overflowPunct/>
        <w:topLinePunct w:val="0"/>
        <w:bidi w:val="0"/>
        <w:snapToGrid/>
        <w:spacing w:line="44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3"/>
        <w:keepNext w:val="0"/>
        <w:keepLines w:val="0"/>
        <w:pageBreakBefore w:val="0"/>
        <w:kinsoku/>
        <w:wordWrap/>
        <w:overflowPunct/>
        <w:topLinePunct w:val="0"/>
        <w:bidi w:val="0"/>
        <w:snapToGrid/>
        <w:spacing w:line="44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3"/>
        <w:keepNext w:val="0"/>
        <w:keepLines w:val="0"/>
        <w:pageBreakBefore w:val="0"/>
        <w:kinsoku/>
        <w:wordWrap/>
        <w:overflowPunct/>
        <w:topLinePunct w:val="0"/>
        <w:bidi w:val="0"/>
        <w:snapToGrid/>
        <w:spacing w:line="440" w:lineRule="exact"/>
        <w:ind w:left="560" w:firstLine="0" w:firstLineChars="0"/>
        <w:contextualSpacing/>
        <w:textAlignment w:val="auto"/>
        <w:rPr>
          <w:rFonts w:ascii="Times New Roman" w:hAnsi="Times New Roman"/>
          <w:b/>
          <w:sz w:val="36"/>
          <w:szCs w:val="36"/>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pPr>
        <w:rPr>
          <w:rFonts w:ascii="Times New Roman" w:hAnsi="Times New Roman"/>
          <w:b/>
          <w:sz w:val="36"/>
          <w:szCs w:val="36"/>
        </w:rPr>
      </w:pPr>
      <w:r>
        <w:rPr>
          <w:rFonts w:ascii="Times New Roman" w:hAnsi="Times New Roman"/>
          <w:b/>
          <w:sz w:val="36"/>
          <w:szCs w:val="36"/>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cs="Times New Roman" w:asciiTheme="minorEastAsia" w:hAnsiTheme="minorEastAsia" w:eastAsiaTheme="minorEastAsia"/>
          <w:b/>
          <w:bCs/>
          <w:color w:val="auto"/>
          <w:kern w:val="2"/>
          <w:sz w:val="30"/>
          <w:szCs w:val="30"/>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pPr>
        <w:spacing w:line="360" w:lineRule="auto"/>
        <w:rPr>
          <w:rFonts w:hint="eastAsia" w:cs="Times New Roman" w:asciiTheme="minorEastAsia" w:hAnsiTheme="minorEastAsia" w:eastAsiaTheme="minorEastAsia"/>
          <w:color w:val="auto"/>
          <w:kern w:val="2"/>
          <w:sz w:val="28"/>
          <w:szCs w:val="28"/>
          <w:lang w:val="en-US" w:eastAsia="zh-CN" w:bidi="ar-SA"/>
        </w:rPr>
      </w:pPr>
      <w:r>
        <w:rPr>
          <w:rFonts w:hint="eastAsia" w:ascii="宋体" w:hAnsi="宋体" w:cs="宋体"/>
          <w:color w:val="auto"/>
          <w:sz w:val="28"/>
          <w:szCs w:val="28"/>
          <w:lang w:eastAsia="zh-CN"/>
        </w:rPr>
        <w:t>★</w:t>
      </w:r>
      <w:r>
        <w:rPr>
          <w:rFonts w:hint="eastAsia" w:cs="Times New Roman" w:asciiTheme="minorEastAsia" w:hAnsiTheme="minorEastAsia" w:eastAsiaTheme="minorEastAsia"/>
          <w:color w:val="auto"/>
          <w:kern w:val="2"/>
          <w:sz w:val="28"/>
          <w:szCs w:val="28"/>
          <w:lang w:val="en-US" w:eastAsia="zh-CN" w:bidi="ar-SA"/>
        </w:rPr>
        <w:t>1.多联机组为智能多联中央空调系统，能效为一级能效，APF≥4.4；</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ascii="宋体" w:hAnsi="宋体" w:cs="宋体"/>
          <w:color w:val="auto"/>
          <w:sz w:val="28"/>
          <w:szCs w:val="28"/>
          <w:lang w:eastAsia="zh-CN"/>
        </w:rPr>
        <w:t>★</w:t>
      </w:r>
      <w:r>
        <w:rPr>
          <w:rFonts w:hint="eastAsia" w:cs="Times New Roman" w:asciiTheme="minorEastAsia" w:hAnsiTheme="minorEastAsia" w:eastAsiaTheme="minorEastAsia"/>
          <w:color w:val="auto"/>
          <w:kern w:val="2"/>
          <w:sz w:val="24"/>
          <w:szCs w:val="24"/>
          <w:lang w:val="en-US" w:eastAsia="zh-CN" w:bidi="ar-SA"/>
        </w:rPr>
        <w:t>2.空调系统采用直流变频压缩机，运用双压缩机腔、内置静音罩、主动油平衡等专业技术；</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3.机组具备节能限电功能，可选择自动节能模式，系统根据环境温度变化优化输出，提高机组的运行综合能效；</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4.室内机可识别海拔位置，海拔过高时，风机转速自适应调节，提高风量，自动补偿能力；</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5.根据环温、设温等参数，自适应设定蒸发温度目标，按需输出，保证系统季节能效匹配最优；</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6.根据运行压力、温度状态，自适应调节外风机转速，使系统高压稳定在最佳状态；</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7.根据内机需求、运行状态适时调节运行外机换热器数、压机数、频率，使部分负荷输出在高效点；</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8.根据室内外温度自动模拟判断季节，实时监控各室内温度变化差异，确保空调运行时，室内机管温随房间温度变化而变化，减少房间温度波动，提高舒适度，降低能耗；</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9.预设7档节能模式，自动调整压机、风机运转上限，一键锁定办公场所室内温度(夏季26C、冬季20C)，响应政府节能、调峰要求；</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ascii="新宋体" w:hAnsi="新宋体" w:eastAsia="新宋体" w:cs="新宋体"/>
          <w:b/>
          <w:sz w:val="28"/>
          <w:szCs w:val="28"/>
        </w:rPr>
        <w:t>▲</w:t>
      </w:r>
      <w:r>
        <w:rPr>
          <w:rFonts w:hint="eastAsia" w:cs="Times New Roman" w:asciiTheme="minorEastAsia" w:hAnsiTheme="minorEastAsia" w:eastAsiaTheme="minorEastAsia"/>
          <w:color w:val="auto"/>
          <w:kern w:val="2"/>
          <w:sz w:val="24"/>
          <w:szCs w:val="24"/>
          <w:lang w:val="en-US" w:eastAsia="zh-CN" w:bidi="ar-SA"/>
        </w:rPr>
        <w:t>10.通过高低压传感器、温度传感器检测数据，控制程序实时模拟实际输配损失，通过提高压缩机输出，克服输配损失，补足能力衰减，保证输出冷/热量匹配实际需求；</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11.多联机组为模块化机组可随意组合，每个模块均可做为主模块使用；</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12.多联机组具有后备运转技术、轮换技术；</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ascii="新宋体" w:hAnsi="新宋体" w:eastAsia="新宋体" w:cs="新宋体"/>
          <w:b/>
          <w:sz w:val="28"/>
          <w:szCs w:val="28"/>
        </w:rPr>
        <w:t>▲</w:t>
      </w:r>
      <w:r>
        <w:rPr>
          <w:rFonts w:hint="eastAsia" w:cs="Times New Roman" w:asciiTheme="minorEastAsia" w:hAnsiTheme="minorEastAsia" w:eastAsiaTheme="minorEastAsia"/>
          <w:color w:val="auto"/>
          <w:kern w:val="2"/>
          <w:sz w:val="24"/>
          <w:szCs w:val="24"/>
          <w:lang w:val="en-US" w:eastAsia="zh-CN" w:bidi="ar-SA"/>
        </w:rPr>
        <w:t>13.多联机组能深度制冷；具有冷凝器e-pass过冷回路设计、冷凝器专用过冷回路设计；</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ascii="新宋体" w:hAnsi="新宋体" w:eastAsia="新宋体" w:cs="新宋体"/>
          <w:b/>
          <w:sz w:val="28"/>
          <w:szCs w:val="28"/>
        </w:rPr>
        <w:t>▲</w:t>
      </w:r>
      <w:r>
        <w:rPr>
          <w:rFonts w:hint="eastAsia" w:cs="Times New Roman" w:asciiTheme="minorEastAsia" w:hAnsiTheme="minorEastAsia" w:eastAsiaTheme="minorEastAsia"/>
          <w:color w:val="auto"/>
          <w:kern w:val="2"/>
          <w:sz w:val="24"/>
          <w:szCs w:val="24"/>
          <w:lang w:val="en-US" w:eastAsia="zh-CN" w:bidi="ar-SA"/>
        </w:rPr>
        <w:t>14.多联机组室外机风扇采用直流无刷电机，实现0-80Hz的无级调速，根据负荷情况智能调节风量和风压；</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ascii="新宋体" w:hAnsi="新宋体" w:eastAsia="新宋体" w:cs="新宋体"/>
          <w:b/>
          <w:sz w:val="28"/>
          <w:szCs w:val="28"/>
        </w:rPr>
        <w:t>▲</w:t>
      </w:r>
      <w:r>
        <w:rPr>
          <w:rFonts w:hint="eastAsia" w:cs="Times New Roman" w:asciiTheme="minorEastAsia" w:hAnsiTheme="minorEastAsia" w:eastAsiaTheme="minorEastAsia"/>
          <w:color w:val="auto"/>
          <w:kern w:val="2"/>
          <w:sz w:val="24"/>
          <w:szCs w:val="24"/>
          <w:lang w:val="en-US" w:eastAsia="zh-CN" w:bidi="ar-SA"/>
        </w:rPr>
        <w:t>15.多联机组具备180°正弦波直流变频技术，压缩机无级变频线性控制技术，压缩机变频范围0-480HZ，直流变频控制主板实现智能无极变频调速控制；</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16.多联机组具备冷媒预判节能调节技术；</w:t>
      </w:r>
    </w:p>
    <w:p>
      <w:pPr>
        <w:spacing w:line="360" w:lineRule="auto"/>
        <w:rPr>
          <w:rFonts w:hint="eastAsia" w:cs="Times New Roman" w:asciiTheme="minorEastAsia" w:hAnsiTheme="minorEastAsia" w:eastAsiaTheme="minorEastAsia"/>
          <w:color w:val="auto"/>
          <w:kern w:val="2"/>
          <w:sz w:val="24"/>
          <w:szCs w:val="24"/>
          <w:lang w:val="en-US" w:eastAsia="zh-CN" w:bidi="ar-SA"/>
        </w:rPr>
      </w:pPr>
      <w:r>
        <w:rPr>
          <w:rFonts w:hint="eastAsia" w:ascii="新宋体" w:hAnsi="新宋体" w:eastAsia="新宋体" w:cs="新宋体"/>
          <w:b/>
          <w:sz w:val="28"/>
          <w:szCs w:val="28"/>
        </w:rPr>
        <w:t>▲</w:t>
      </w:r>
      <w:r>
        <w:rPr>
          <w:rFonts w:hint="eastAsia" w:cs="Times New Roman" w:asciiTheme="minorEastAsia" w:hAnsiTheme="minorEastAsia" w:eastAsiaTheme="minorEastAsia"/>
          <w:color w:val="auto"/>
          <w:kern w:val="2"/>
          <w:sz w:val="24"/>
          <w:szCs w:val="24"/>
          <w:lang w:val="en-US" w:eastAsia="zh-CN" w:bidi="ar-SA"/>
        </w:rPr>
        <w:t>17.多联机组具备十二级以上控油技术；</w:t>
      </w:r>
    </w:p>
    <w:p>
      <w:pPr>
        <w:spacing w:line="360" w:lineRule="auto"/>
        <w:rPr>
          <w:rFonts w:hint="eastAsia" w:asciiTheme="minorEastAsia" w:hAnsiTheme="minorEastAsia" w:eastAsiaTheme="minorEastAsia"/>
          <w:b/>
          <w:kern w:val="0"/>
          <w:sz w:val="28"/>
          <w:szCs w:val="28"/>
          <w:lang w:val="en-US" w:eastAsia="zh-CN"/>
        </w:rPr>
      </w:pPr>
      <w:r>
        <w:rPr>
          <w:rFonts w:hint="eastAsia" w:asciiTheme="minorEastAsia" w:hAnsiTheme="minorEastAsia" w:eastAsiaTheme="minorEastAsia"/>
          <w:b/>
          <w:kern w:val="0"/>
          <w:sz w:val="28"/>
          <w:szCs w:val="28"/>
          <w:lang w:val="en-US" w:eastAsia="zh-CN"/>
        </w:rPr>
        <w:t>二、商务要求</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inorEastAsia" w:hAnsiTheme="minorEastAsia" w:eastAsiaTheme="minorEastAsia"/>
          <w:color w:val="auto"/>
          <w:kern w:val="2"/>
          <w:sz w:val="24"/>
          <w:szCs w:val="24"/>
          <w:lang w:val="en-US" w:eastAsia="zh-CN" w:bidi="ar-SA"/>
        </w:rPr>
      </w:pPr>
      <w:bookmarkStart w:id="7" w:name="_Toc520455383"/>
      <w:bookmarkStart w:id="8" w:name="_Toc52036325"/>
      <w:r>
        <w:rPr>
          <w:rFonts w:hint="eastAsia" w:cs="Times New Roman" w:asciiTheme="minorEastAsia" w:hAnsiTheme="minorEastAsia" w:eastAsiaTheme="minorEastAsia"/>
          <w:color w:val="auto"/>
          <w:kern w:val="2"/>
          <w:sz w:val="24"/>
          <w:szCs w:val="24"/>
          <w:lang w:val="en-US" w:eastAsia="zh-CN" w:bidi="ar-SA"/>
        </w:rPr>
        <w:t>1、交货期：合同签订后15个工作日内完成安装调试并交付使用。</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2、交货安装地点：三台县人民医院门急诊综合楼。</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3、质保期：整机质保≥1年。如国家或行业标准期限长于本项目质保期的，按国家或行业标准执行。</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4、付款方式：项目安装调试完成、验收合格并收到发票后1个月内支付合同金额的95%，质保期满后设备无质量问题1个月内支付合同金额的5%。</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5、售后服务：保修期内接到报修电话半小时响应，4小时到达现场，24小时内恢复设备正常运行。所有人工费、材料费、差旅费等各种费用由中标方支付。</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6、本项目完工后中标方派专业技术人员对医院相关技术人员进行培训，直至能独立操作，同时能完成一般常见故障的维修处理。</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b/>
          <w:bCs/>
          <w:kern w:val="0"/>
          <w:sz w:val="32"/>
          <w:szCs w:val="32"/>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bookmarkStart w:id="9" w:name="_Toc520455385"/>
    </w:p>
    <w:p>
      <w:pPr>
        <w:rPr>
          <w:rFonts w:hint="eastAsia" w:ascii="Times New Roman" w:hAnsi="Times New Roman"/>
          <w:b/>
          <w:bCs/>
          <w:color w:val="auto"/>
          <w:kern w:val="0"/>
          <w:sz w:val="32"/>
          <w:szCs w:val="32"/>
        </w:rPr>
      </w:pPr>
      <w:r>
        <w:rPr>
          <w:rFonts w:hint="eastAsia" w:ascii="Times New Roman" w:hAnsi="Times New Roman"/>
          <w:b/>
          <w:bCs/>
          <w:color w:val="auto"/>
          <w:kern w:val="0"/>
          <w:sz w:val="32"/>
          <w:szCs w:val="32"/>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bCs w:val="0"/>
          <w:color w:val="auto"/>
          <w:kern w:val="0"/>
          <w:sz w:val="24"/>
          <w:szCs w:val="20"/>
          <w:lang w:eastAsia="zh-CN"/>
        </w:rPr>
        <w:t>符合资格供应商不足</w:t>
      </w:r>
      <w:r>
        <w:rPr>
          <w:rFonts w:hint="eastAsia" w:ascii="Times New Roman" w:hAnsi="Times New Roman"/>
          <w:b/>
          <w:bCs w:val="0"/>
          <w:color w:val="auto"/>
          <w:kern w:val="0"/>
          <w:sz w:val="24"/>
          <w:szCs w:val="20"/>
          <w:lang w:val="en-US" w:eastAsia="zh-CN"/>
        </w:rPr>
        <w:t>3家，不予评审</w:t>
      </w:r>
      <w:r>
        <w:rPr>
          <w:rFonts w:hint="eastAsia" w:ascii="Times New Roman" w:hAnsi="Times New Roman"/>
          <w:b/>
          <w:bCs w:val="0"/>
          <w:color w:val="auto"/>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p>
    <w:p>
      <w:pPr>
        <w:widowControl/>
        <w:adjustRightInd w:val="0"/>
        <w:snapToGrid w:val="0"/>
        <w:spacing w:line="400" w:lineRule="exact"/>
        <w:jc w:val="left"/>
        <w:rPr>
          <w:color w:val="auto"/>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bookmarkEnd w:id="9"/>
    </w:p>
    <w:tbl>
      <w:tblPr>
        <w:tblStyle w:val="21"/>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679"/>
        <w:gridCol w:w="795"/>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 w:val="21"/>
                <w:szCs w:val="21"/>
              </w:rPr>
            </w:pPr>
            <w:r>
              <w:rPr>
                <w:rFonts w:hint="eastAsia" w:ascii="宋体" w:hAnsi="宋体"/>
                <w:b/>
                <w:bCs/>
                <w:color w:val="auto"/>
                <w:sz w:val="21"/>
                <w:szCs w:val="21"/>
              </w:rPr>
              <w:t>序号</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 w:val="21"/>
                <w:szCs w:val="21"/>
              </w:rPr>
            </w:pPr>
            <w:r>
              <w:rPr>
                <w:rFonts w:hint="eastAsia" w:ascii="宋体" w:hAnsi="宋体"/>
                <w:b/>
                <w:bCs/>
                <w:color w:val="auto"/>
                <w:sz w:val="21"/>
                <w:szCs w:val="21"/>
              </w:rPr>
              <w:t>评分因素及权重</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 w:val="21"/>
                <w:szCs w:val="21"/>
              </w:rPr>
            </w:pPr>
            <w:r>
              <w:rPr>
                <w:rFonts w:hint="eastAsia" w:ascii="宋体" w:hAnsi="宋体"/>
                <w:b/>
                <w:bCs/>
                <w:color w:val="auto"/>
                <w:sz w:val="21"/>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 w:val="21"/>
                <w:szCs w:val="21"/>
              </w:rPr>
            </w:pPr>
            <w:r>
              <w:rPr>
                <w:rFonts w:hint="eastAsia" w:ascii="宋体" w:hAnsi="宋体"/>
                <w:b/>
                <w:bCs/>
                <w:color w:val="auto"/>
                <w:sz w:val="21"/>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 w:val="21"/>
                <w:szCs w:val="21"/>
              </w:rPr>
            </w:pPr>
            <w:r>
              <w:rPr>
                <w:rFonts w:hint="eastAsia" w:ascii="宋体" w:hAnsi="宋体"/>
                <w:b/>
                <w:bCs/>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1"/>
                <w:szCs w:val="21"/>
              </w:rPr>
            </w:pPr>
            <w:r>
              <w:rPr>
                <w:rFonts w:ascii="宋体" w:hAnsi="宋体"/>
                <w:bCs/>
                <w:color w:val="auto"/>
                <w:sz w:val="21"/>
                <w:szCs w:val="21"/>
              </w:rPr>
              <w:t>1</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1"/>
                <w:szCs w:val="21"/>
                <w:lang w:val="en-US" w:eastAsia="zh-CN"/>
              </w:rPr>
            </w:pPr>
            <w:r>
              <w:rPr>
                <w:rFonts w:hint="eastAsia" w:ascii="宋体" w:hAnsi="宋体"/>
                <w:bCs/>
                <w:color w:val="auto"/>
                <w:sz w:val="21"/>
                <w:szCs w:val="21"/>
              </w:rPr>
              <w:t>报价</w:t>
            </w:r>
            <w:r>
              <w:rPr>
                <w:rFonts w:hint="eastAsia" w:ascii="宋体" w:hAnsi="宋体"/>
                <w:bCs/>
                <w:color w:val="auto"/>
                <w:sz w:val="21"/>
                <w:szCs w:val="21"/>
                <w:lang w:val="en-US" w:eastAsia="zh-CN"/>
              </w:rPr>
              <w:t>30%</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1"/>
                <w:szCs w:val="21"/>
              </w:rPr>
            </w:pPr>
            <w:r>
              <w:rPr>
                <w:rFonts w:ascii="宋体" w:hAnsi="宋体"/>
                <w:bCs/>
                <w:color w:val="auto"/>
                <w:sz w:val="21"/>
                <w:szCs w:val="21"/>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1"/>
                <w:szCs w:val="21"/>
              </w:rPr>
            </w:pPr>
            <w:r>
              <w:rPr>
                <w:rFonts w:hint="eastAsia" w:ascii="宋体" w:hAnsi="宋体"/>
                <w:color w:val="auto"/>
                <w:sz w:val="21"/>
                <w:szCs w:val="21"/>
              </w:rPr>
              <w:t>以本次符合要求的最低的有效投标报价为基准价，投标报价得分</w:t>
            </w:r>
            <w:r>
              <w:rPr>
                <w:rFonts w:ascii="宋体" w:hAnsi="宋体"/>
                <w:color w:val="auto"/>
                <w:sz w:val="21"/>
                <w:szCs w:val="21"/>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r>
              <w:rPr>
                <w:rFonts w:hint="eastAsia" w:ascii="宋体" w:hAnsi="宋体"/>
                <w:color w:val="auto"/>
                <w:sz w:val="21"/>
                <w:szCs w:val="21"/>
              </w:rPr>
              <w:t>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1"/>
                <w:szCs w:val="21"/>
              </w:rPr>
            </w:pPr>
            <w:r>
              <w:rPr>
                <w:rFonts w:ascii="宋体" w:hAnsi="宋体"/>
                <w:bCs/>
                <w:color w:val="auto"/>
                <w:sz w:val="21"/>
                <w:szCs w:val="21"/>
              </w:rPr>
              <w:t>2</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1"/>
                <w:szCs w:val="21"/>
                <w:lang w:val="en-US" w:eastAsia="zh-CN"/>
              </w:rPr>
            </w:pPr>
            <w:r>
              <w:rPr>
                <w:rFonts w:hint="eastAsia" w:ascii="宋体" w:hAnsi="宋体"/>
                <w:bCs/>
                <w:color w:val="auto"/>
                <w:sz w:val="21"/>
                <w:szCs w:val="21"/>
              </w:rPr>
              <w:t>技术指标和配置</w:t>
            </w:r>
            <w:r>
              <w:rPr>
                <w:rFonts w:hint="eastAsia" w:ascii="宋体" w:hAnsi="宋体"/>
                <w:bCs/>
                <w:color w:val="auto"/>
                <w:sz w:val="21"/>
                <w:szCs w:val="21"/>
                <w:lang w:val="en-US" w:eastAsia="zh-CN"/>
              </w:rPr>
              <w:t>56%</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1"/>
                <w:szCs w:val="21"/>
                <w:lang w:val="en-US" w:eastAsia="zh-CN"/>
              </w:rPr>
            </w:pPr>
            <w:r>
              <w:rPr>
                <w:rFonts w:hint="eastAsia" w:ascii="宋体" w:hAnsi="宋体"/>
                <w:bCs/>
                <w:color w:val="auto"/>
                <w:sz w:val="21"/>
                <w:szCs w:val="21"/>
                <w:lang w:val="en-US" w:eastAsia="zh-CN"/>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1"/>
                <w:szCs w:val="21"/>
              </w:rPr>
            </w:pPr>
            <w:r>
              <w:rPr>
                <w:rFonts w:hint="eastAsia" w:ascii="宋体" w:hAnsi="宋体"/>
                <w:color w:val="auto"/>
                <w:sz w:val="21"/>
                <w:szCs w:val="21"/>
              </w:rPr>
              <w:t>完全符合招标文件要求没有负偏离得</w:t>
            </w:r>
            <w:r>
              <w:rPr>
                <w:rFonts w:hint="eastAsia" w:ascii="宋体" w:hAnsi="宋体"/>
                <w:color w:val="auto"/>
                <w:sz w:val="21"/>
                <w:szCs w:val="21"/>
                <w:lang w:val="en-US" w:eastAsia="zh-CN"/>
              </w:rPr>
              <w:t>60</w:t>
            </w:r>
            <w:r>
              <w:rPr>
                <w:rFonts w:ascii="宋体" w:hAnsi="宋体"/>
                <w:color w:val="auto"/>
                <w:sz w:val="21"/>
                <w:szCs w:val="21"/>
              </w:rPr>
              <w:t>分；星号条款(标注▲)的技术参数，一条不满足扣</w:t>
            </w:r>
            <w:r>
              <w:rPr>
                <w:rFonts w:hint="eastAsia" w:ascii="宋体" w:hAnsi="宋体"/>
                <w:color w:val="auto"/>
                <w:sz w:val="21"/>
                <w:szCs w:val="21"/>
                <w:lang w:val="en-US" w:eastAsia="zh-CN"/>
              </w:rPr>
              <w:t>10</w:t>
            </w:r>
            <w:r>
              <w:rPr>
                <w:rFonts w:ascii="宋体" w:hAnsi="宋体"/>
                <w:color w:val="auto"/>
                <w:sz w:val="21"/>
                <w:szCs w:val="21"/>
              </w:rPr>
              <w:t>分，非星号条款的技术参数，一条不满足扣</w:t>
            </w:r>
            <w:r>
              <w:rPr>
                <w:rFonts w:hint="eastAsia" w:ascii="宋体" w:hAnsi="宋体"/>
                <w:color w:val="auto"/>
                <w:sz w:val="21"/>
                <w:szCs w:val="21"/>
                <w:lang w:val="en-US" w:eastAsia="zh-CN"/>
              </w:rPr>
              <w:t>1</w:t>
            </w:r>
            <w:r>
              <w:rPr>
                <w:rFonts w:ascii="宋体" w:hAnsi="宋体"/>
                <w:color w:val="auto"/>
                <w:sz w:val="21"/>
                <w:szCs w:val="21"/>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号参数须提供产品说明书或检测报告证明材料作为佐证</w:t>
            </w:r>
            <w:r>
              <w:rPr>
                <w:rFonts w:hint="eastAsia" w:ascii="宋体" w:hAnsi="宋体"/>
                <w:color w:val="auto"/>
                <w:sz w:val="21"/>
                <w:szCs w:val="21"/>
                <w:lang w:eastAsia="zh-CN"/>
              </w:rPr>
              <w:t>，</w:t>
            </w:r>
            <w:r>
              <w:rPr>
                <w:rFonts w:hint="eastAsia" w:ascii="宋体" w:hAnsi="宋体"/>
                <w:color w:val="auto"/>
                <w:sz w:val="21"/>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1"/>
                <w:szCs w:val="21"/>
              </w:rPr>
            </w:pPr>
            <w:r>
              <w:rPr>
                <w:rFonts w:ascii="宋体" w:hAnsi="宋体"/>
                <w:bCs/>
                <w:color w:val="auto"/>
                <w:sz w:val="21"/>
                <w:szCs w:val="21"/>
              </w:rPr>
              <w:t>3</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1"/>
                <w:szCs w:val="21"/>
                <w:lang w:val="en-US" w:eastAsia="zh-CN"/>
              </w:rPr>
            </w:pPr>
            <w:r>
              <w:rPr>
                <w:rFonts w:hint="eastAsia" w:ascii="宋体" w:hAnsi="宋体"/>
                <w:bCs/>
                <w:color w:val="auto"/>
                <w:sz w:val="21"/>
                <w:szCs w:val="21"/>
              </w:rPr>
              <w:t>履约能力</w:t>
            </w:r>
            <w:r>
              <w:rPr>
                <w:rFonts w:hint="eastAsia" w:ascii="宋体" w:hAnsi="宋体"/>
                <w:bCs/>
                <w:color w:val="auto"/>
                <w:sz w:val="21"/>
                <w:szCs w:val="21"/>
                <w:lang w:val="en-US" w:eastAsia="zh-CN"/>
              </w:rPr>
              <w:t>5%</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1"/>
                <w:szCs w:val="21"/>
                <w:lang w:val="en-US" w:eastAsia="zh-CN"/>
              </w:rPr>
            </w:pPr>
            <w:r>
              <w:rPr>
                <w:rFonts w:hint="eastAsia" w:ascii="宋体" w:hAnsi="宋体"/>
                <w:bCs/>
                <w:color w:val="auto"/>
                <w:sz w:val="21"/>
                <w:szCs w:val="21"/>
                <w:lang w:val="en-US" w:eastAsia="zh-CN"/>
              </w:rPr>
              <w:t>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1"/>
                <w:szCs w:val="21"/>
              </w:rPr>
            </w:pPr>
            <w:r>
              <w:rPr>
                <w:rFonts w:hint="eastAsia" w:ascii="宋体" w:hAnsi="宋体"/>
                <w:color w:val="auto"/>
                <w:sz w:val="21"/>
                <w:szCs w:val="21"/>
              </w:rPr>
              <w:t>根据投标人</w:t>
            </w:r>
            <w:r>
              <w:rPr>
                <w:rFonts w:ascii="宋体" w:hAnsi="宋体"/>
                <w:color w:val="auto"/>
                <w:sz w:val="21"/>
                <w:szCs w:val="21"/>
              </w:rPr>
              <w:t>20</w:t>
            </w:r>
            <w:r>
              <w:rPr>
                <w:rFonts w:hint="eastAsia" w:ascii="宋体" w:hAnsi="宋体"/>
                <w:color w:val="auto"/>
                <w:sz w:val="21"/>
                <w:szCs w:val="21"/>
                <w:lang w:val="en-US" w:eastAsia="zh-CN"/>
              </w:rPr>
              <w:t>21</w:t>
            </w:r>
            <w:r>
              <w:rPr>
                <w:rFonts w:ascii="宋体" w:hAnsi="宋体"/>
                <w:color w:val="auto"/>
                <w:sz w:val="21"/>
                <w:szCs w:val="21"/>
              </w:rPr>
              <w:t>年以来</w:t>
            </w:r>
            <w:r>
              <w:rPr>
                <w:rFonts w:hint="eastAsia" w:ascii="宋体" w:hAnsi="宋体"/>
                <w:color w:val="auto"/>
                <w:sz w:val="21"/>
                <w:szCs w:val="21"/>
                <w:lang w:eastAsia="zh-CN"/>
              </w:rPr>
              <w:t>类似</w:t>
            </w:r>
            <w:r>
              <w:rPr>
                <w:rFonts w:ascii="宋体" w:hAnsi="宋体"/>
                <w:color w:val="auto"/>
                <w:sz w:val="21"/>
                <w:szCs w:val="21"/>
              </w:rPr>
              <w:t>业绩计算，</w:t>
            </w:r>
            <w:r>
              <w:rPr>
                <w:rFonts w:hint="eastAsia" w:ascii="宋体" w:hAnsi="宋体"/>
                <w:color w:val="auto"/>
                <w:sz w:val="21"/>
                <w:szCs w:val="21"/>
                <w:lang w:eastAsia="zh-CN"/>
              </w:rPr>
              <w:t>每提供</w:t>
            </w:r>
            <w:r>
              <w:rPr>
                <w:rFonts w:ascii="宋体" w:hAnsi="宋体"/>
                <w:color w:val="auto"/>
                <w:sz w:val="21"/>
                <w:szCs w:val="21"/>
              </w:rPr>
              <w:t>合同一个得</w:t>
            </w:r>
            <w:r>
              <w:rPr>
                <w:rFonts w:hint="eastAsia" w:ascii="宋体" w:hAnsi="宋体"/>
                <w:color w:val="auto"/>
                <w:sz w:val="21"/>
                <w:szCs w:val="21"/>
                <w:lang w:val="en-US" w:eastAsia="zh-CN"/>
              </w:rPr>
              <w:t>0.5</w:t>
            </w:r>
            <w:r>
              <w:rPr>
                <w:rFonts w:ascii="宋体" w:hAnsi="宋体"/>
                <w:color w:val="auto"/>
                <w:sz w:val="21"/>
                <w:szCs w:val="21"/>
              </w:rPr>
              <w:t>分，最多得</w:t>
            </w:r>
            <w:r>
              <w:rPr>
                <w:rFonts w:hint="eastAsia" w:ascii="宋体" w:hAnsi="宋体"/>
                <w:color w:val="auto"/>
                <w:sz w:val="21"/>
                <w:szCs w:val="21"/>
                <w:lang w:val="en-US" w:eastAsia="zh-CN"/>
              </w:rPr>
              <w:t>5</w:t>
            </w:r>
            <w:r>
              <w:rPr>
                <w:rFonts w:ascii="宋体" w:hAnsi="宋体"/>
                <w:color w:val="auto"/>
                <w:sz w:val="21"/>
                <w:szCs w:val="21"/>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r>
              <w:rPr>
                <w:rFonts w:hint="eastAsia" w:ascii="宋体" w:hAnsi="宋体"/>
                <w:color w:val="auto"/>
                <w:sz w:val="21"/>
                <w:szCs w:val="21"/>
              </w:rPr>
              <w:t>类似业绩指：同品牌同型号设备销售业绩。</w:t>
            </w:r>
          </w:p>
          <w:p>
            <w:pPr>
              <w:spacing w:line="0" w:lineRule="atLeast"/>
              <w:jc w:val="center"/>
              <w:rPr>
                <w:rFonts w:ascii="宋体" w:hAnsi="宋体"/>
                <w:color w:val="auto"/>
                <w:sz w:val="21"/>
                <w:szCs w:val="21"/>
              </w:rPr>
            </w:pPr>
            <w:r>
              <w:rPr>
                <w:rFonts w:hint="eastAsia" w:ascii="宋体" w:hAnsi="宋体"/>
                <w:color w:val="auto"/>
                <w:sz w:val="21"/>
                <w:szCs w:val="21"/>
              </w:rPr>
              <w:t>提供合同</w:t>
            </w:r>
            <w:r>
              <w:rPr>
                <w:rFonts w:ascii="宋体" w:hAnsi="宋体"/>
                <w:color w:val="auto"/>
                <w:sz w:val="21"/>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60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1"/>
                <w:szCs w:val="21"/>
              </w:rPr>
            </w:pPr>
            <w:r>
              <w:rPr>
                <w:rFonts w:ascii="宋体" w:hAnsi="宋体"/>
                <w:bCs/>
                <w:color w:val="auto"/>
                <w:sz w:val="21"/>
                <w:szCs w:val="21"/>
              </w:rPr>
              <w:t>4</w:t>
            </w:r>
          </w:p>
        </w:tc>
        <w:tc>
          <w:tcPr>
            <w:tcW w:w="167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1"/>
                <w:szCs w:val="21"/>
                <w:lang w:val="en-US" w:eastAsia="zh-CN"/>
              </w:rPr>
            </w:pPr>
            <w:r>
              <w:rPr>
                <w:rFonts w:hint="eastAsia" w:ascii="宋体" w:hAnsi="宋体"/>
                <w:bCs/>
                <w:color w:val="auto"/>
                <w:sz w:val="21"/>
                <w:szCs w:val="21"/>
              </w:rPr>
              <w:t>售后服务</w:t>
            </w:r>
            <w:r>
              <w:rPr>
                <w:rFonts w:hint="eastAsia" w:ascii="宋体" w:hAnsi="宋体"/>
                <w:bCs/>
                <w:color w:val="auto"/>
                <w:sz w:val="21"/>
                <w:szCs w:val="21"/>
                <w:lang w:val="en-US" w:eastAsia="zh-CN"/>
              </w:rPr>
              <w:t>5%</w:t>
            </w:r>
          </w:p>
        </w:tc>
        <w:tc>
          <w:tcPr>
            <w:tcW w:w="79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1"/>
                <w:szCs w:val="21"/>
                <w:lang w:eastAsia="zh-CN"/>
              </w:rPr>
            </w:pPr>
            <w:r>
              <w:rPr>
                <w:rFonts w:hint="eastAsia" w:ascii="宋体" w:hAnsi="宋体"/>
                <w:bCs/>
                <w:color w:val="auto"/>
                <w:sz w:val="21"/>
                <w:szCs w:val="21"/>
                <w:lang w:val="en-US" w:eastAsia="zh-CN"/>
              </w:rPr>
              <w:t>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hint="eastAsia" w:ascii="宋体" w:hAnsi="宋体" w:eastAsia="宋体" w:cs="Times New Roman"/>
                <w:color w:val="auto"/>
                <w:sz w:val="21"/>
                <w:szCs w:val="21"/>
              </w:rPr>
            </w:pPr>
            <w:r>
              <w:rPr>
                <w:rFonts w:hint="eastAsia" w:ascii="宋体" w:hAnsi="宋体" w:eastAsia="宋体" w:cs="Times New Roman"/>
                <w:color w:val="auto"/>
                <w:sz w:val="21"/>
                <w:szCs w:val="21"/>
              </w:rPr>
              <w:t>投标人提供售后服务方案包含：①响应时间、②响应措施、③现场服务支持能力、④应急方案。内容完整并满足项目需求得</w:t>
            </w:r>
            <w:r>
              <w:rPr>
                <w:rFonts w:hint="eastAsia" w:ascii="宋体" w:hAnsi="宋体" w:cs="Times New Roman"/>
                <w:color w:val="auto"/>
                <w:sz w:val="21"/>
                <w:szCs w:val="21"/>
                <w:lang w:val="en-US" w:eastAsia="zh-CN"/>
              </w:rPr>
              <w:t>5</w:t>
            </w:r>
            <w:r>
              <w:rPr>
                <w:rFonts w:hint="eastAsia" w:ascii="宋体" w:hAnsi="宋体" w:eastAsia="宋体" w:cs="Times New Roman"/>
                <w:color w:val="auto"/>
                <w:sz w:val="21"/>
                <w:szCs w:val="21"/>
              </w:rPr>
              <w:t>分，每缺少一项内容扣</w:t>
            </w:r>
            <w:r>
              <w:rPr>
                <w:rFonts w:hint="eastAsia" w:ascii="宋体" w:hAnsi="宋体" w:cs="Times New Roman"/>
                <w:color w:val="auto"/>
                <w:sz w:val="21"/>
                <w:szCs w:val="21"/>
                <w:lang w:val="en-US" w:eastAsia="zh-CN"/>
              </w:rPr>
              <w:t>1.5</w:t>
            </w:r>
            <w:r>
              <w:rPr>
                <w:rFonts w:hint="eastAsia" w:ascii="宋体" w:hAnsi="宋体" w:eastAsia="宋体" w:cs="Times New Roman"/>
                <w:color w:val="auto"/>
                <w:sz w:val="21"/>
                <w:szCs w:val="21"/>
              </w:rPr>
              <w:t>分，每有一项内容存在缺陷的扣</w:t>
            </w:r>
            <w:r>
              <w:rPr>
                <w:rFonts w:hint="eastAsia" w:ascii="宋体" w:hAnsi="宋体" w:cs="Times New Roman"/>
                <w:color w:val="auto"/>
                <w:sz w:val="21"/>
                <w:szCs w:val="21"/>
                <w:lang w:val="en-US" w:eastAsia="zh-CN"/>
              </w:rPr>
              <w:t>1</w:t>
            </w:r>
            <w:r>
              <w:rPr>
                <w:rFonts w:hint="eastAsia" w:ascii="宋体" w:hAnsi="宋体" w:eastAsia="宋体" w:cs="Times New Roman"/>
                <w:color w:val="auto"/>
                <w:sz w:val="21"/>
                <w:szCs w:val="21"/>
              </w:rPr>
              <w:t>分，扣完为止。</w:t>
            </w:r>
          </w:p>
          <w:p>
            <w:pPr>
              <w:spacing w:line="0" w:lineRule="atLeast"/>
              <w:rPr>
                <w:rFonts w:ascii="宋体" w:hAnsi="宋体"/>
                <w:color w:val="auto"/>
                <w:sz w:val="21"/>
                <w:szCs w:val="21"/>
              </w:rPr>
            </w:pP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r>
    </w:tbl>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pStyle w:val="2"/>
        <w:rPr>
          <w:rFonts w:hint="eastAsia"/>
          <w:lang w:eastAsia="zh-CN"/>
        </w:rPr>
      </w:pPr>
    </w:p>
    <w:p>
      <w:pPr>
        <w:rPr>
          <w:rFonts w:hint="eastAsia"/>
          <w:lang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6"/>
          <w:szCs w:val="36"/>
        </w:rPr>
      </w:pPr>
      <w:r>
        <w:rPr>
          <w:rFonts w:ascii="Times New Roman" w:hAnsi="Times New Roman"/>
          <w:sz w:val="36"/>
          <w:szCs w:val="36"/>
        </w:rPr>
        <w:t xml:space="preserve"> 响应文件格式</w:t>
      </w:r>
      <w:bookmarkEnd w:id="7"/>
      <w:bookmarkEnd w:id="8"/>
      <w:r>
        <w:rPr>
          <w:rFonts w:hint="eastAsia" w:ascii="Times New Roman" w:hAnsi="Times New Roman"/>
          <w:sz w:val="36"/>
          <w:szCs w:val="36"/>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21</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2</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7、法定代表人/单位负责人授权委托书（法定代表人/单位负责人或自然人直接参与投标的除外）。</w:t>
      </w:r>
    </w:p>
    <w:p>
      <w:pPr>
        <w:keepNext w:val="0"/>
        <w:keepLines w:val="0"/>
        <w:pageBreakBefore w:val="0"/>
        <w:kinsoku/>
        <w:wordWrap/>
        <w:overflowPunct/>
        <w:topLinePunct w:val="0"/>
        <w:bidi w:val="0"/>
        <w:snapToGrid/>
        <w:spacing w:line="440" w:lineRule="exact"/>
        <w:textAlignment w:val="auto"/>
        <w:rPr>
          <w:rFonts w:ascii="Times New Roman" w:hAnsi="Times New Roman"/>
          <w:kern w:val="0"/>
          <w:sz w:val="24"/>
          <w:szCs w:val="24"/>
          <w:lang w:val="zh-CN"/>
        </w:rPr>
      </w:pPr>
      <w:r>
        <w:rPr>
          <w:rFonts w:hint="eastAsia"/>
          <w:kern w:val="0"/>
          <w:sz w:val="24"/>
          <w:szCs w:val="24"/>
          <w:lang w:val="en-US" w:eastAsia="zh-CN"/>
        </w:rPr>
        <w:t>8、</w:t>
      </w:r>
      <w:r>
        <w:rPr>
          <w:rFonts w:ascii="Times New Roman" w:hAnsi="Times New Roman"/>
          <w:kern w:val="0"/>
          <w:sz w:val="24"/>
          <w:szCs w:val="24"/>
          <w:lang w:val="zh-CN"/>
        </w:rPr>
        <w:t>提供参加本次比选采购活动前三年内，在经营活动中</w:t>
      </w:r>
      <w:r>
        <w:rPr>
          <w:rFonts w:hint="eastAsia" w:ascii="Times New Roman" w:hAnsi="Times New Roman"/>
          <w:kern w:val="0"/>
          <w:sz w:val="24"/>
          <w:szCs w:val="24"/>
          <w:lang w:val="zh-CN"/>
        </w:rPr>
        <w:t>没有行贿犯罪记录的承诺函</w:t>
      </w:r>
      <w:r>
        <w:rPr>
          <w:rFonts w:ascii="Times New Roman" w:hAnsi="Times New Roman"/>
          <w:kern w:val="0"/>
          <w:sz w:val="24"/>
          <w:szCs w:val="24"/>
          <w:lang w:val="zh-CN"/>
        </w:rPr>
        <w:t>（公司成立不足三年的从成立之日起算）。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rPr>
          <w:rFonts w:ascii="Times New Roman" w:hAnsi="Times New Roman"/>
          <w:b/>
          <w:kern w:val="0"/>
          <w:sz w:val="32"/>
          <w:szCs w:val="20"/>
        </w:rPr>
      </w:pPr>
      <w:r>
        <w:rPr>
          <w:rFonts w:ascii="Times New Roman" w:hAnsi="Times New Roman"/>
          <w:b/>
          <w:kern w:val="0"/>
          <w:sz w:val="32"/>
          <w:szCs w:val="20"/>
        </w:rPr>
        <w:br w:type="page"/>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3698132"/>
      <w:bookmarkStart w:id="11" w:name="_Toc40447267"/>
      <w:bookmarkStart w:id="12" w:name="_Toc34051805"/>
      <w:bookmarkStart w:id="13" w:name="_Toc52036326"/>
      <w:bookmarkStart w:id="14" w:name="_Toc33709793"/>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52036327"/>
      <w:bookmarkStart w:id="16" w:name="_Toc33709794"/>
      <w:bookmarkStart w:id="17" w:name="_Toc40447268"/>
      <w:bookmarkStart w:id="18" w:name="_Toc33698133"/>
      <w:bookmarkStart w:id="19" w:name="_Toc34051806"/>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3709795"/>
      <w:bookmarkStart w:id="21" w:name="_Toc52036328"/>
      <w:bookmarkStart w:id="22" w:name="_Toc33698134"/>
      <w:bookmarkStart w:id="23" w:name="_Toc34051807"/>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4051808"/>
      <w:bookmarkStart w:id="26" w:name="_Toc33698135"/>
      <w:bookmarkStart w:id="27" w:name="_Toc40447270"/>
      <w:bookmarkStart w:id="28" w:name="_Toc52036329"/>
      <w:bookmarkStart w:id="29" w:name="_Toc33709796"/>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307564880"/>
      <w:bookmarkStart w:id="31" w:name="_Toc436410129"/>
      <w:bookmarkStart w:id="32" w:name="_Toc436385992"/>
      <w:bookmarkStart w:id="33" w:name="_Toc436404120"/>
      <w:bookmarkStart w:id="34" w:name="_Toc43682089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971"/>
      <w:bookmarkStart w:id="36" w:name="_Toc503987183"/>
      <w:bookmarkStart w:id="37" w:name="_Toc503986415"/>
      <w:bookmarkStart w:id="38" w:name="_Toc503987104"/>
      <w:bookmarkStart w:id="39" w:name="_Toc503986838"/>
      <w:bookmarkStart w:id="40" w:name="_Toc50398729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3709797"/>
      <w:bookmarkStart w:id="43" w:name="_Toc33698136"/>
      <w:bookmarkStart w:id="44" w:name="_Toc52036330"/>
      <w:bookmarkStart w:id="45" w:name="_Toc34051809"/>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709798"/>
      <w:bookmarkStart w:id="47" w:name="_Toc40447272"/>
      <w:bookmarkStart w:id="48" w:name="_Toc33698137"/>
      <w:bookmarkStart w:id="49" w:name="_Toc34051810"/>
      <w:bookmarkStart w:id="50" w:name="_Toc52036331"/>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707"/>
        <w:gridCol w:w="1340"/>
        <w:gridCol w:w="672"/>
        <w:gridCol w:w="1173"/>
        <w:gridCol w:w="1173"/>
        <w:gridCol w:w="1115"/>
        <w:gridCol w:w="17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6"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w:t>
            </w:r>
            <w:r>
              <w:rPr>
                <w:rFonts w:hint="eastAsia" w:ascii="Times New Roman" w:hAnsi="Times New Roman"/>
                <w:b/>
                <w:sz w:val="24"/>
                <w:lang w:eastAsia="zh-CN"/>
              </w:rPr>
              <w:t>万</w:t>
            </w:r>
            <w:r>
              <w:rPr>
                <w:rFonts w:hint="eastAsia" w:ascii="Times New Roman" w:hAnsi="Times New Roman"/>
                <w:b/>
                <w:sz w:val="24"/>
              </w:rPr>
              <w:t>元）</w:t>
            </w:r>
          </w:p>
        </w:tc>
        <w:tc>
          <w:tcPr>
            <w:tcW w:w="6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w:t>
            </w:r>
            <w:r>
              <w:rPr>
                <w:rFonts w:hint="eastAsia" w:ascii="Times New Roman" w:hAnsi="Times New Roman"/>
                <w:b/>
                <w:sz w:val="24"/>
                <w:lang w:eastAsia="zh-CN"/>
              </w:rPr>
              <w:t>万</w:t>
            </w:r>
            <w:r>
              <w:rPr>
                <w:rFonts w:hint="eastAsia" w:ascii="Times New Roman" w:hAnsi="Times New Roman"/>
                <w:b/>
                <w:sz w:val="24"/>
              </w:rPr>
              <w:t>元）</w:t>
            </w:r>
          </w:p>
        </w:tc>
        <w:tc>
          <w:tcPr>
            <w:tcW w:w="65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1033" w:type="pct"/>
            <w:vAlign w:val="center"/>
          </w:tcPr>
          <w:p>
            <w:pPr>
              <w:ind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szCs w:val="20"/>
        </w:rPr>
        <w:t>报价说明：</w:t>
      </w:r>
    </w:p>
    <w:p>
      <w:pPr>
        <w:spacing w:line="360" w:lineRule="auto"/>
        <w:rPr>
          <w:rFonts w:ascii="Times New Roman" w:hAnsi="Times New Roman"/>
          <w:sz w:val="24"/>
          <w:szCs w:val="20"/>
        </w:rPr>
      </w:pPr>
      <w:r>
        <w:rPr>
          <w:rFonts w:hint="eastAsia" w:ascii="Times New Roman" w:hAnsi="Times New Roman"/>
          <w:sz w:val="24"/>
          <w:szCs w:val="20"/>
          <w:lang w:val="en-US" w:eastAsia="zh-CN"/>
        </w:rPr>
        <w:t>1、</w:t>
      </w:r>
      <w:r>
        <w:rPr>
          <w:rFonts w:ascii="Times New Roman" w:hAnsi="Times New Roman"/>
          <w:sz w:val="24"/>
          <w:szCs w:val="20"/>
        </w:rPr>
        <w:t>报价应是最终用户验收合格后的总价，包括</w:t>
      </w:r>
      <w:r>
        <w:rPr>
          <w:rFonts w:hint="eastAsia" w:ascii="Times New Roman" w:hAnsi="Times New Roman"/>
          <w:sz w:val="24"/>
          <w:szCs w:val="20"/>
          <w:lang w:eastAsia="zh-CN"/>
        </w:rPr>
        <w:t>：</w:t>
      </w:r>
      <w:r>
        <w:rPr>
          <w:rFonts w:ascii="Times New Roman" w:hAnsi="Times New Roman"/>
          <w:sz w:val="24"/>
          <w:szCs w:val="20"/>
        </w:rPr>
        <w:t>设备运输、保险、代理、安装调试、培训、税费、系统集成费用、知识产权费用</w:t>
      </w:r>
      <w:r>
        <w:rPr>
          <w:rFonts w:ascii="Times New Roman" w:hAnsi="Times New Roman"/>
          <w:kern w:val="0"/>
          <w:sz w:val="24"/>
          <w:szCs w:val="20"/>
        </w:rPr>
        <w:t>和伴随货物交运的有关费用。</w:t>
      </w:r>
    </w:p>
    <w:p>
      <w:pPr>
        <w:spacing w:line="360" w:lineRule="auto"/>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432C"/>
    <w:multiLevelType w:val="singleLevel"/>
    <w:tmpl w:val="1E36432C"/>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364B9"/>
    <w:rsid w:val="00A53362"/>
    <w:rsid w:val="00AE2F1C"/>
    <w:rsid w:val="00B316F5"/>
    <w:rsid w:val="00B53FCB"/>
    <w:rsid w:val="00BA33DF"/>
    <w:rsid w:val="00C41F0F"/>
    <w:rsid w:val="00C84C99"/>
    <w:rsid w:val="00CA567C"/>
    <w:rsid w:val="00D97302"/>
    <w:rsid w:val="00DD4D9F"/>
    <w:rsid w:val="00F65A99"/>
    <w:rsid w:val="01BD420B"/>
    <w:rsid w:val="04936845"/>
    <w:rsid w:val="066A2989"/>
    <w:rsid w:val="082E244F"/>
    <w:rsid w:val="098D5F59"/>
    <w:rsid w:val="0A382368"/>
    <w:rsid w:val="0AFA5A96"/>
    <w:rsid w:val="0B6010B4"/>
    <w:rsid w:val="0BF615DF"/>
    <w:rsid w:val="0CD27FFC"/>
    <w:rsid w:val="0D0F4ED6"/>
    <w:rsid w:val="0D350DE1"/>
    <w:rsid w:val="0DAC4D70"/>
    <w:rsid w:val="0DDC125D"/>
    <w:rsid w:val="0E677033"/>
    <w:rsid w:val="0E7F1957"/>
    <w:rsid w:val="0EE428AF"/>
    <w:rsid w:val="10C51E56"/>
    <w:rsid w:val="14E84654"/>
    <w:rsid w:val="15200185"/>
    <w:rsid w:val="15304B56"/>
    <w:rsid w:val="17122347"/>
    <w:rsid w:val="17623448"/>
    <w:rsid w:val="17F6222D"/>
    <w:rsid w:val="18461C09"/>
    <w:rsid w:val="184F0509"/>
    <w:rsid w:val="186D58D3"/>
    <w:rsid w:val="19A37076"/>
    <w:rsid w:val="1B266D2D"/>
    <w:rsid w:val="1B481CDF"/>
    <w:rsid w:val="1B4D05AA"/>
    <w:rsid w:val="1BAC4722"/>
    <w:rsid w:val="1BB678E7"/>
    <w:rsid w:val="1C281231"/>
    <w:rsid w:val="1C88336B"/>
    <w:rsid w:val="1E0A001A"/>
    <w:rsid w:val="1E9B5F74"/>
    <w:rsid w:val="1EA25BAA"/>
    <w:rsid w:val="1F1D0593"/>
    <w:rsid w:val="1F2324A2"/>
    <w:rsid w:val="1FAE4192"/>
    <w:rsid w:val="1FDE786A"/>
    <w:rsid w:val="20A2053B"/>
    <w:rsid w:val="20D54F08"/>
    <w:rsid w:val="20ED7DFF"/>
    <w:rsid w:val="21DF2C72"/>
    <w:rsid w:val="22CA3482"/>
    <w:rsid w:val="247F6619"/>
    <w:rsid w:val="26463681"/>
    <w:rsid w:val="26AD77E2"/>
    <w:rsid w:val="271909D4"/>
    <w:rsid w:val="27457A1B"/>
    <w:rsid w:val="29226266"/>
    <w:rsid w:val="29A7364C"/>
    <w:rsid w:val="2A092A55"/>
    <w:rsid w:val="2B970CE2"/>
    <w:rsid w:val="2BAB5764"/>
    <w:rsid w:val="2BD0497A"/>
    <w:rsid w:val="2BF11E95"/>
    <w:rsid w:val="2BFC0981"/>
    <w:rsid w:val="2D2105E2"/>
    <w:rsid w:val="2D7C46D0"/>
    <w:rsid w:val="2DB54EEB"/>
    <w:rsid w:val="2F5D26AF"/>
    <w:rsid w:val="2FB70420"/>
    <w:rsid w:val="2FF22973"/>
    <w:rsid w:val="31B9528D"/>
    <w:rsid w:val="32CD2AF9"/>
    <w:rsid w:val="32E80129"/>
    <w:rsid w:val="33D16649"/>
    <w:rsid w:val="3410163B"/>
    <w:rsid w:val="344A6670"/>
    <w:rsid w:val="352C0BF7"/>
    <w:rsid w:val="35DF103A"/>
    <w:rsid w:val="3609706D"/>
    <w:rsid w:val="366F5DE4"/>
    <w:rsid w:val="36F100CE"/>
    <w:rsid w:val="37164E99"/>
    <w:rsid w:val="37427AD3"/>
    <w:rsid w:val="3839273F"/>
    <w:rsid w:val="39202673"/>
    <w:rsid w:val="39761CB6"/>
    <w:rsid w:val="39A22AAB"/>
    <w:rsid w:val="3A445910"/>
    <w:rsid w:val="3A83468A"/>
    <w:rsid w:val="3A8F1371"/>
    <w:rsid w:val="3AAA1402"/>
    <w:rsid w:val="3ADD50BB"/>
    <w:rsid w:val="3BE1743B"/>
    <w:rsid w:val="3BF758E5"/>
    <w:rsid w:val="3C2B003B"/>
    <w:rsid w:val="3C455B7B"/>
    <w:rsid w:val="3C693B9A"/>
    <w:rsid w:val="3CE02C16"/>
    <w:rsid w:val="3CFC3046"/>
    <w:rsid w:val="3EA40C89"/>
    <w:rsid w:val="3F3026AC"/>
    <w:rsid w:val="3FDC7247"/>
    <w:rsid w:val="40F37FB8"/>
    <w:rsid w:val="42085A83"/>
    <w:rsid w:val="444F0625"/>
    <w:rsid w:val="45392515"/>
    <w:rsid w:val="45BE1E11"/>
    <w:rsid w:val="45EA0429"/>
    <w:rsid w:val="46D1677D"/>
    <w:rsid w:val="46FB0382"/>
    <w:rsid w:val="472C4F7A"/>
    <w:rsid w:val="478661AE"/>
    <w:rsid w:val="47EB6865"/>
    <w:rsid w:val="480706A9"/>
    <w:rsid w:val="493D58DD"/>
    <w:rsid w:val="497A5A68"/>
    <w:rsid w:val="497C50C6"/>
    <w:rsid w:val="499F23B8"/>
    <w:rsid w:val="49EF479F"/>
    <w:rsid w:val="4A9D70A2"/>
    <w:rsid w:val="4BC43E4C"/>
    <w:rsid w:val="4C2C6594"/>
    <w:rsid w:val="4C7D185E"/>
    <w:rsid w:val="4DD454D1"/>
    <w:rsid w:val="4E81291C"/>
    <w:rsid w:val="4F9B5B7A"/>
    <w:rsid w:val="50277BC9"/>
    <w:rsid w:val="50D15CF8"/>
    <w:rsid w:val="51066F16"/>
    <w:rsid w:val="51AE40DC"/>
    <w:rsid w:val="52075749"/>
    <w:rsid w:val="52095598"/>
    <w:rsid w:val="522B1438"/>
    <w:rsid w:val="522E717A"/>
    <w:rsid w:val="52B14033"/>
    <w:rsid w:val="533253F0"/>
    <w:rsid w:val="53455021"/>
    <w:rsid w:val="537A7089"/>
    <w:rsid w:val="538452A3"/>
    <w:rsid w:val="538A508B"/>
    <w:rsid w:val="53D63625"/>
    <w:rsid w:val="5422686A"/>
    <w:rsid w:val="55356E1A"/>
    <w:rsid w:val="55B11973"/>
    <w:rsid w:val="55BE2D22"/>
    <w:rsid w:val="560501F2"/>
    <w:rsid w:val="568E6439"/>
    <w:rsid w:val="56B93C5A"/>
    <w:rsid w:val="56D330DE"/>
    <w:rsid w:val="578E0FAB"/>
    <w:rsid w:val="58360F93"/>
    <w:rsid w:val="58BA1F78"/>
    <w:rsid w:val="599D70BF"/>
    <w:rsid w:val="59B60181"/>
    <w:rsid w:val="5AA9706F"/>
    <w:rsid w:val="5AAD383C"/>
    <w:rsid w:val="5B505E97"/>
    <w:rsid w:val="5C866026"/>
    <w:rsid w:val="5DC20E2A"/>
    <w:rsid w:val="5DC40EC2"/>
    <w:rsid w:val="5DD8138D"/>
    <w:rsid w:val="5DEF0CB7"/>
    <w:rsid w:val="5E435D5B"/>
    <w:rsid w:val="5EBF7E2B"/>
    <w:rsid w:val="5F9B0133"/>
    <w:rsid w:val="611E7ED2"/>
    <w:rsid w:val="611F03B9"/>
    <w:rsid w:val="617A7CE6"/>
    <w:rsid w:val="624A3B5C"/>
    <w:rsid w:val="62892A63"/>
    <w:rsid w:val="62FF7CDB"/>
    <w:rsid w:val="63DA4CFD"/>
    <w:rsid w:val="64633872"/>
    <w:rsid w:val="659F01D8"/>
    <w:rsid w:val="66350708"/>
    <w:rsid w:val="6686620A"/>
    <w:rsid w:val="68871E97"/>
    <w:rsid w:val="68B977C1"/>
    <w:rsid w:val="692844CB"/>
    <w:rsid w:val="69B343B3"/>
    <w:rsid w:val="69CD4345"/>
    <w:rsid w:val="69DC778F"/>
    <w:rsid w:val="69E4351C"/>
    <w:rsid w:val="6A4F2F1A"/>
    <w:rsid w:val="6ABE0C43"/>
    <w:rsid w:val="6B8A20A2"/>
    <w:rsid w:val="6B8C2459"/>
    <w:rsid w:val="6BB8153D"/>
    <w:rsid w:val="6BDF60AB"/>
    <w:rsid w:val="6C320399"/>
    <w:rsid w:val="6C755241"/>
    <w:rsid w:val="6CC11C7A"/>
    <w:rsid w:val="6D50327E"/>
    <w:rsid w:val="6E671E41"/>
    <w:rsid w:val="6EA34B5F"/>
    <w:rsid w:val="6F514ADE"/>
    <w:rsid w:val="6F833AC6"/>
    <w:rsid w:val="6FA74BB9"/>
    <w:rsid w:val="6FD902CD"/>
    <w:rsid w:val="713951B9"/>
    <w:rsid w:val="71593422"/>
    <w:rsid w:val="727B1B10"/>
    <w:rsid w:val="72B059E8"/>
    <w:rsid w:val="732C647B"/>
    <w:rsid w:val="73445F40"/>
    <w:rsid w:val="7353202C"/>
    <w:rsid w:val="735A34D3"/>
    <w:rsid w:val="74386650"/>
    <w:rsid w:val="7466395C"/>
    <w:rsid w:val="74BA06CD"/>
    <w:rsid w:val="74CD163D"/>
    <w:rsid w:val="74F117E3"/>
    <w:rsid w:val="762A7AD4"/>
    <w:rsid w:val="76481D09"/>
    <w:rsid w:val="76F43665"/>
    <w:rsid w:val="770737D2"/>
    <w:rsid w:val="79554E68"/>
    <w:rsid w:val="7A1B6C1E"/>
    <w:rsid w:val="7A351B2A"/>
    <w:rsid w:val="7AB7598A"/>
    <w:rsid w:val="7B310FBD"/>
    <w:rsid w:val="7C3F13C0"/>
    <w:rsid w:val="7C754515"/>
    <w:rsid w:val="7D080444"/>
    <w:rsid w:val="7D8D4B15"/>
    <w:rsid w:val="7E0D277C"/>
    <w:rsid w:val="7E580D51"/>
    <w:rsid w:val="7E970D8E"/>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4">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7641</Words>
  <Characters>7908</Characters>
  <Lines>102</Lines>
  <Paragraphs>28</Paragraphs>
  <TotalTime>142</TotalTime>
  <ScaleCrop>false</ScaleCrop>
  <LinksUpToDate>false</LinksUpToDate>
  <CharactersWithSpaces>9314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2023-07-11T09:41:10Z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F47F42B6397243A990682B8866FFC27D</vt:lpwstr>
  </property>
</Properties>
</file>