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hint="eastAsia" w:cs="Arial"/>
          <w:bCs w:val="0"/>
          <w:sz w:val="44"/>
          <w:szCs w:val="44"/>
          <w:lang w:val="en-US" w:eastAsia="zh-CN"/>
        </w:rPr>
      </w:pPr>
      <w:r>
        <w:rPr>
          <w:rFonts w:cs="Arial"/>
          <w:bCs w:val="0"/>
          <w:sz w:val="44"/>
          <w:szCs w:val="44"/>
        </w:rPr>
        <w:t>三台县</w:t>
      </w:r>
      <w:r>
        <w:rPr>
          <w:rFonts w:hint="eastAsia" w:cs="Arial"/>
          <w:bCs w:val="0"/>
          <w:sz w:val="44"/>
          <w:szCs w:val="44"/>
          <w:lang w:val="en-US" w:eastAsia="zh-CN"/>
        </w:rPr>
        <w:t>人民医院救治能力提标扩能建设</w:t>
      </w:r>
    </w:p>
    <w:p>
      <w:pPr>
        <w:pStyle w:val="4"/>
        <w:shd w:val="clear" w:color="auto" w:fill="FFFFFF"/>
        <w:spacing w:before="0" w:beforeAutospacing="0" w:after="0" w:afterAutospacing="0"/>
        <w:jc w:val="center"/>
        <w:rPr>
          <w:rFonts w:cs="Arial"/>
          <w:bCs w:val="0"/>
          <w:sz w:val="44"/>
          <w:szCs w:val="44"/>
        </w:rPr>
      </w:pPr>
      <w:r>
        <w:rPr>
          <w:rFonts w:hint="eastAsia" w:cs="Arial"/>
          <w:bCs w:val="0"/>
          <w:sz w:val="44"/>
          <w:szCs w:val="44"/>
          <w:lang w:val="en-US" w:eastAsia="zh-CN"/>
        </w:rPr>
        <w:t>项目工程量清单及控制价编制</w:t>
      </w:r>
      <w:r>
        <w:rPr>
          <w:rFonts w:cs="Arial"/>
          <w:bCs w:val="0"/>
          <w:sz w:val="44"/>
          <w:szCs w:val="44"/>
        </w:rPr>
        <w:t>采购</w:t>
      </w:r>
    </w:p>
    <w:p>
      <w:pPr>
        <w:jc w:val="center"/>
        <w:rPr>
          <w:rFonts w:ascii="宋体" w:hAnsi="宋体"/>
          <w:b/>
          <w:color w:val="000000"/>
          <w:sz w:val="44"/>
          <w:szCs w:val="44"/>
        </w:rPr>
      </w:pPr>
    </w:p>
    <w:p>
      <w:pPr>
        <w:jc w:val="center"/>
        <w:rPr>
          <w:rFonts w:ascii="宋体" w:hAnsi="宋体"/>
          <w:b/>
          <w:color w:val="000000"/>
          <w:sz w:val="36"/>
          <w:szCs w:val="36"/>
        </w:rPr>
      </w:pPr>
    </w:p>
    <w:p>
      <w:pPr>
        <w:jc w:val="center"/>
        <w:rPr>
          <w:rFonts w:ascii="宋体" w:hAnsi="宋体"/>
          <w:b/>
          <w:color w:val="000000"/>
          <w:sz w:val="36"/>
          <w:szCs w:val="36"/>
        </w:rPr>
      </w:pPr>
    </w:p>
    <w:p>
      <w:pPr>
        <w:spacing w:line="900" w:lineRule="exact"/>
        <w:jc w:val="center"/>
        <w:rPr>
          <w:rFonts w:ascii="宋体" w:hAnsi="宋体"/>
          <w:b/>
          <w:color w:val="000000"/>
          <w:sz w:val="30"/>
          <w:szCs w:val="30"/>
        </w:rPr>
      </w:pPr>
      <w:r>
        <w:rPr>
          <w:rFonts w:hint="eastAsia" w:ascii="宋体" w:hAnsi="宋体"/>
          <w:b/>
          <w:color w:val="000000"/>
          <w:sz w:val="56"/>
          <w:szCs w:val="36"/>
        </w:rPr>
        <w:t>院内竞争性磋商文件</w:t>
      </w: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pStyle w:val="7"/>
      </w:pPr>
    </w:p>
    <w:p>
      <w:pPr>
        <w:spacing w:line="900" w:lineRule="exact"/>
        <w:ind w:firstLine="2409" w:firstLineChars="800"/>
        <w:rPr>
          <w:rFonts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ascii="宋体" w:hAnsi="宋体"/>
          <w:b/>
          <w:color w:val="000000"/>
          <w:sz w:val="30"/>
          <w:szCs w:val="30"/>
          <w:u w:val="single"/>
        </w:rPr>
      </w:pPr>
    </w:p>
    <w:p>
      <w:pPr>
        <w:spacing w:line="900" w:lineRule="exact"/>
        <w:ind w:firstLine="3614" w:firstLineChars="1200"/>
        <w:rPr>
          <w:rFonts w:ascii="宋体" w:hAnsi="宋体"/>
          <w:b/>
          <w:color w:val="000000"/>
          <w:sz w:val="30"/>
          <w:szCs w:val="30"/>
        </w:rPr>
      </w:pPr>
      <w:r>
        <w:rPr>
          <w:rFonts w:hint="eastAsia" w:ascii="宋体" w:hAnsi="宋体"/>
          <w:b/>
          <w:color w:val="000000"/>
          <w:sz w:val="30"/>
          <w:szCs w:val="30"/>
        </w:rPr>
        <w:t>2023年</w:t>
      </w:r>
      <w:r>
        <w:rPr>
          <w:rFonts w:ascii="宋体" w:hAnsi="宋体"/>
          <w:b/>
          <w:color w:val="000000"/>
          <w:sz w:val="30"/>
          <w:szCs w:val="30"/>
        </w:rPr>
        <w:t xml:space="preserve"> </w:t>
      </w:r>
      <w:r>
        <w:rPr>
          <w:rFonts w:hint="eastAsia" w:ascii="宋体" w:hAnsi="宋体"/>
          <w:b/>
          <w:color w:val="000000"/>
          <w:sz w:val="30"/>
          <w:szCs w:val="30"/>
          <w:lang w:val="en-US" w:eastAsia="zh-CN"/>
        </w:rPr>
        <w:t>7</w:t>
      </w:r>
      <w:r>
        <w:rPr>
          <w:rFonts w:hint="eastAsia" w:ascii="宋体" w:hAnsi="宋体"/>
          <w:b/>
          <w:color w:val="000000"/>
          <w:sz w:val="30"/>
          <w:szCs w:val="30"/>
        </w:rPr>
        <w:t>月</w:t>
      </w:r>
    </w:p>
    <w:p>
      <w:pPr>
        <w:rPr>
          <w:rFonts w:ascii="宋体" w:hAnsi="宋体"/>
          <w:b/>
          <w:color w:val="000000"/>
          <w:sz w:val="36"/>
          <w:szCs w:val="36"/>
        </w:rPr>
      </w:pPr>
    </w:p>
    <w:p>
      <w:pPr>
        <w:rPr>
          <w:rFonts w:ascii="宋体" w:hAnsi="宋体"/>
          <w:b/>
          <w:color w:val="000000"/>
          <w:sz w:val="36"/>
          <w:szCs w:val="36"/>
        </w:rPr>
      </w:pPr>
    </w:p>
    <w:p>
      <w:pPr>
        <w:jc w:val="center"/>
        <w:rPr>
          <w:rFonts w:ascii="宋体" w:hAnsi="宋体"/>
          <w:b/>
          <w:color w:val="000000"/>
          <w:sz w:val="36"/>
          <w:szCs w:val="36"/>
        </w:rPr>
      </w:pPr>
    </w:p>
    <w:p>
      <w:pPr>
        <w:spacing w:after="240"/>
        <w:jc w:val="center"/>
        <w:rPr>
          <w:rFonts w:ascii="宋体" w:hAnsi="宋体"/>
          <w:b/>
          <w:color w:val="000000"/>
          <w:sz w:val="36"/>
          <w:szCs w:val="36"/>
        </w:rPr>
      </w:pPr>
    </w:p>
    <w:p>
      <w:pPr>
        <w:rPr>
          <w:rFonts w:hint="eastAsia" w:ascii="宋体" w:hAnsi="宋体"/>
          <w:b/>
          <w:color w:val="000000"/>
          <w:sz w:val="32"/>
          <w:szCs w:val="32"/>
        </w:rPr>
      </w:pPr>
    </w:p>
    <w:p>
      <w:pPr>
        <w:pStyle w:val="7"/>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480" w:lineRule="exact"/>
        <w:ind w:right="640"/>
        <w:jc w:val="center"/>
        <w:textAlignment w:val="auto"/>
        <w:rPr>
          <w:rFonts w:hint="eastAsia" w:ascii="宋体" w:hAnsi="宋体" w:cs="宋体"/>
          <w:b/>
          <w:bCs/>
          <w:color w:val="000000"/>
          <w:kern w:val="0"/>
          <w:sz w:val="32"/>
          <w:szCs w:val="32"/>
        </w:rPr>
      </w:pPr>
      <w:r>
        <w:rPr>
          <w:rFonts w:hint="eastAsia" w:ascii="宋体" w:hAnsi="宋体" w:cs="宋体"/>
          <w:b/>
          <w:bCs/>
          <w:color w:val="000000"/>
          <w:kern w:val="0"/>
          <w:sz w:val="32"/>
          <w:szCs w:val="32"/>
        </w:rPr>
        <w:t>第一章</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磋商邀请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人民医院救治能力提标扩能建设项目工程量清单及控制价编制</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1.项目名称：</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人民医院救治能力提标扩能建设项目工程量清单及控制价编制采购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2.采购人：三台县人民医院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.本次竞争性磋商不接受联合体参与；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.供应商及其现任法定代表人、主要负责人无行贿犯罪记录。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rPr>
        <w:t>三、报名要求：</w:t>
      </w:r>
      <w:r>
        <w:rPr>
          <w:rFonts w:hint="eastAsia" w:ascii="宋体" w:hAnsi="宋体" w:eastAsia="宋体" w:cs="宋体"/>
          <w:sz w:val="28"/>
          <w:szCs w:val="28"/>
        </w:rPr>
        <w:t>请潜在供应商致电三台县人民医院采购办报名，报名电话：0816-5222252，联系人：云老师、邹老师；报名时间：2023年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26</w:t>
      </w:r>
      <w:r>
        <w:rPr>
          <w:rFonts w:hint="eastAsia" w:ascii="宋体" w:hAnsi="宋体" w:eastAsia="宋体" w:cs="宋体"/>
          <w:sz w:val="28"/>
          <w:szCs w:val="28"/>
        </w:rPr>
        <w:t>日至2023年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28</w:t>
      </w:r>
      <w:r>
        <w:rPr>
          <w:rFonts w:hint="eastAsia" w:ascii="宋体" w:hAnsi="宋体" w:eastAsia="宋体" w:cs="宋体"/>
          <w:sz w:val="28"/>
          <w:szCs w:val="28"/>
        </w:rPr>
        <w:t>日8:00～12:00、14:30～18:00（北京时间，法定节假日除外）。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递交响应文件截止时间：</w:t>
      </w:r>
      <w:r>
        <w:rPr>
          <w:rFonts w:hint="eastAsia" w:ascii="宋体" w:hAnsi="宋体" w:eastAsia="宋体" w:cs="宋体"/>
          <w:sz w:val="28"/>
          <w:szCs w:val="28"/>
        </w:rPr>
        <w:t>2023年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2</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磋商地点：</w:t>
      </w:r>
      <w:r>
        <w:rPr>
          <w:rFonts w:hint="eastAsia" w:ascii="宋体" w:hAnsi="宋体" w:eastAsia="宋体" w:cs="宋体"/>
          <w:sz w:val="28"/>
          <w:szCs w:val="28"/>
        </w:rPr>
        <w:t>三台县人民医院行政楼</w:t>
      </w:r>
      <w:r>
        <w:rPr>
          <w:rFonts w:hint="eastAsia" w:ascii="宋体" w:hAnsi="宋体" w:eastAsia="宋体" w:cs="宋体"/>
          <w:sz w:val="28"/>
          <w:szCs w:val="28"/>
          <w:lang w:eastAsia="zh-CN"/>
        </w:rPr>
        <w:t>二</w:t>
      </w:r>
      <w:r>
        <w:rPr>
          <w:rFonts w:hint="eastAsia" w:ascii="宋体" w:hAnsi="宋体" w:eastAsia="宋体" w:cs="宋体"/>
          <w:sz w:val="28"/>
          <w:szCs w:val="28"/>
        </w:rPr>
        <w:t>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磋商时间：</w:t>
      </w:r>
      <w:r>
        <w:rPr>
          <w:rFonts w:hint="eastAsia" w:ascii="宋体" w:hAnsi="宋体" w:eastAsia="宋体" w:cs="宋体"/>
          <w:sz w:val="28"/>
          <w:szCs w:val="28"/>
        </w:rPr>
        <w:t>2023年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2</w:t>
      </w:r>
      <w:r>
        <w:rPr>
          <w:rFonts w:hint="eastAsia" w:ascii="宋体" w:hAnsi="宋体" w:eastAsia="宋体" w:cs="宋体"/>
          <w:sz w:val="28"/>
          <w:szCs w:val="28"/>
        </w:rPr>
        <w:t>日15：00。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本磋商邀请在三台县人民医院官网上以公告形式发布。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采购人：</w:t>
      </w:r>
      <w:r>
        <w:rPr>
          <w:rFonts w:hint="eastAsia" w:ascii="宋体" w:hAnsi="宋体" w:eastAsia="宋体" w:cs="宋体"/>
          <w:sz w:val="28"/>
          <w:szCs w:val="28"/>
        </w:rPr>
        <w:t>三台县人民医院</w:t>
      </w:r>
    </w:p>
    <w:p>
      <w:pPr>
        <w:pStyle w:val="2"/>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cs="宋体"/>
          <w:b/>
          <w:bCs/>
          <w:color w:val="auto"/>
          <w:kern w:val="2"/>
          <w:sz w:val="28"/>
          <w:szCs w:val="28"/>
          <w:lang w:val="en-US" w:eastAsia="zh-CN" w:bidi="ar-SA"/>
        </w:rPr>
        <w:t>九、</w:t>
      </w:r>
      <w:r>
        <w:rPr>
          <w:rFonts w:hint="eastAsia" w:ascii="宋体" w:hAnsi="宋体" w:eastAsia="宋体" w:cs="宋体"/>
          <w:b/>
          <w:bCs/>
          <w:color w:val="auto"/>
          <w:kern w:val="2"/>
          <w:sz w:val="28"/>
          <w:szCs w:val="28"/>
          <w:lang w:val="en-US" w:eastAsia="zh-CN" w:bidi="ar-SA"/>
        </w:rPr>
        <w:t>项目联系人：</w:t>
      </w:r>
      <w:r>
        <w:rPr>
          <w:rFonts w:hint="eastAsia" w:ascii="宋体" w:hAnsi="宋体" w:eastAsia="宋体" w:cs="宋体"/>
          <w:color w:val="auto"/>
          <w:kern w:val="2"/>
          <w:sz w:val="28"/>
          <w:szCs w:val="28"/>
          <w:lang w:val="en-US" w:eastAsia="zh-CN" w:bidi="ar-SA"/>
        </w:rPr>
        <w:t>贾老师 15281675867</w:t>
      </w:r>
      <w:r>
        <w:rPr>
          <w:rFonts w:hint="eastAsia" w:ascii="宋体" w:hAnsi="宋体" w:cs="宋体"/>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2023年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25</w:t>
      </w:r>
      <w:r>
        <w:rPr>
          <w:rFonts w:hint="eastAsia" w:ascii="宋体" w:hAnsi="宋体" w:eastAsia="宋体" w:cs="宋体"/>
          <w:sz w:val="28"/>
          <w:szCs w:val="28"/>
        </w:rPr>
        <w:t>日</w:t>
      </w:r>
    </w:p>
    <w:p>
      <w:pPr>
        <w:jc w:val="cente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人民医院救治能力提标扩能建设项目工程量清单及控制价编制</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二、项目名称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人民医院救治能力提标扩能建设项目工程量清单及控制价编制采购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三、服务内容及期限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（一）服务内容：</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人民医院救治能力提标扩能建设项目工程量清单及控制价编制</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（二）服务期限：</w:t>
      </w:r>
      <w:r>
        <w:rPr>
          <w:rFonts w:hint="eastAsia" w:cs="Times New Roman"/>
          <w:b w:val="0"/>
          <w:bCs w:val="0"/>
          <w:color w:val="000000"/>
          <w:sz w:val="28"/>
          <w:szCs w:val="28"/>
          <w:lang w:val="en-US" w:eastAsia="zh-CN"/>
        </w:rPr>
        <w:t>30个日历天。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四、采购控制价、付款方式及其他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（一）控制价：</w:t>
      </w:r>
      <w:r>
        <w:rPr>
          <w:rFonts w:hint="eastAsia" w:ascii="宋体" w:hAnsi="宋体" w:cs="宋体"/>
          <w:color w:val="auto"/>
          <w:kern w:val="0"/>
          <w:sz w:val="28"/>
          <w:szCs w:val="28"/>
        </w:rPr>
        <w:t>本项目采购控制价</w:t>
      </w:r>
      <w:r>
        <w:rPr>
          <w:rFonts w:hint="eastAsia" w:ascii="宋体" w:hAnsi="宋体" w:cs="宋体"/>
          <w:color w:val="auto"/>
          <w:kern w:val="0"/>
          <w:sz w:val="28"/>
          <w:szCs w:val="28"/>
          <w:lang w:val="en-US" w:eastAsia="zh-CN"/>
        </w:rPr>
        <w:t>为</w:t>
      </w:r>
      <w:r>
        <w:rPr>
          <w:rFonts w:hint="eastAsia" w:ascii="宋体" w:hAnsi="宋体" w:cs="宋体"/>
          <w:color w:val="auto"/>
          <w:kern w:val="0"/>
          <w:sz w:val="28"/>
          <w:szCs w:val="28"/>
          <w:u w:val="none"/>
          <w:lang w:val="en-US" w:eastAsia="zh-CN"/>
        </w:rPr>
        <w:t>28</w:t>
      </w:r>
      <w:r>
        <w:rPr>
          <w:rFonts w:hint="eastAsia" w:ascii="宋体" w:hAnsi="宋体" w:cs="宋体"/>
          <w:color w:val="auto"/>
          <w:kern w:val="0"/>
          <w:sz w:val="28"/>
          <w:szCs w:val="28"/>
        </w:rPr>
        <w:t>万元，供应商的报价包含</w:t>
      </w:r>
      <w:bookmarkStart w:id="0" w:name="_Hlk89248287"/>
      <w:r>
        <w:rPr>
          <w:rFonts w:hint="eastAsia" w:ascii="宋体" w:hAnsi="宋体" w:cs="宋体"/>
          <w:color w:val="auto"/>
          <w:kern w:val="0"/>
          <w:sz w:val="28"/>
          <w:szCs w:val="28"/>
          <w:lang w:eastAsia="zh-CN"/>
        </w:rPr>
        <w:t>：</w:t>
      </w:r>
      <w:r>
        <w:rPr>
          <w:rFonts w:hint="eastAsia" w:ascii="宋体" w:hAnsi="宋体"/>
          <w:bCs/>
          <w:color w:val="auto"/>
          <w:sz w:val="28"/>
          <w:szCs w:val="28"/>
        </w:rPr>
        <w:t>成本、利润、风险费、税金等。</w:t>
      </w:r>
      <w:bookmarkEnd w:id="0"/>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（二）付款方式：</w:t>
      </w:r>
      <w:r>
        <w:rPr>
          <w:rFonts w:hint="eastAsia" w:ascii="宋体" w:hAnsi="宋体"/>
          <w:bCs/>
          <w:color w:val="auto"/>
          <w:sz w:val="28"/>
          <w:szCs w:val="28"/>
          <w:lang w:val="en-US" w:eastAsia="zh-CN"/>
        </w:rPr>
        <w:t>完成工程量清单及控制价编制后一次性付款</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五、磋商时间、申请文件的密封、及递交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开标时间：2023年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2</w:t>
      </w:r>
      <w:r>
        <w:rPr>
          <w:rFonts w:hint="eastAsia" w:ascii="宋体" w:hAnsi="宋体" w:eastAsia="宋体" w:cs="宋体"/>
          <w:sz w:val="28"/>
          <w:szCs w:val="28"/>
        </w:rPr>
        <w:t>日15：00。</w:t>
      </w:r>
      <w:bookmarkStart w:id="4" w:name="_GoBack"/>
      <w:bookmarkEnd w:id="4"/>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开标地点：三台县人民医院行政楼二楼会议室。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申请文件份数：叁份（一正二副）。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密封：正副本密封到一个密封袋内，封口处加盖供应商公章。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逾期送达的或者未送达指定地点的，招标人不予受理。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六、竞争性磋商申请人（简称供应商）须具备的条件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.本次竞争性磋商不接受联合体参与；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.供应商及其现任法定代表人、主要负责人无行贿犯罪记录</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七、竞争性磋商申请文件需具有的资料(仅有但不限于)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1.法定代表人身份证明或法定代表人授权委托书；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2.企业法人营业执照（副本复印件，加盖公章）；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3.商业信誉承诺书；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4.供应商具有健全的财务会计制度承诺函；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6.参加本次采购活动前三年内，在经营活动中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重大违法记录的承诺函；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7.具有依法缴纳税收和社会保障资金良好记录的承诺书；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8.供应商及其现任法定代表人、主要负责人无行贿犯罪记录的书面声明；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9.报价函；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八、评标标准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（1）磋商小组由采购人或委托具有相应专业的评审专家3人组成；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（2）首先是资格审查，是针对供应商的类似经验等采用的强制性标准法。只有完全满足资格审查各项强制性标准的供应商才能进入下一个阶段的评审。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九、中标通知书的发放与合同签订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评标结果确定后，采购人在指定网站进行公示，公示结束后，采购人与排名第一的成交供应商签订采购合同。</w:t>
      </w:r>
    </w:p>
    <w:p>
      <w:pPr>
        <w:rPr>
          <w:rFonts w:hint="eastAsia" w:ascii="宋体" w:hAnsi="宋体"/>
          <w:b/>
          <w:color w:val="000000"/>
          <w:sz w:val="24"/>
        </w:rPr>
      </w:pPr>
      <w:r>
        <w:rPr>
          <w:rFonts w:hint="eastAsia" w:ascii="宋体" w:hAnsi="宋体"/>
          <w:b/>
          <w:color w:val="000000"/>
          <w:sz w:val="24"/>
        </w:rPr>
        <w:br w:type="page"/>
      </w:r>
    </w:p>
    <w:p>
      <w:pPr>
        <w:spacing w:line="360" w:lineRule="auto"/>
        <w:rPr>
          <w:rFonts w:ascii="宋体" w:hAnsi="宋体"/>
          <w:b/>
          <w:color w:val="000000"/>
          <w:sz w:val="24"/>
        </w:rPr>
      </w:pPr>
      <w:r>
        <w:rPr>
          <w:rFonts w:hint="eastAsia" w:ascii="宋体" w:hAnsi="宋体"/>
          <w:b/>
          <w:color w:val="000000"/>
          <w:sz w:val="24"/>
        </w:rPr>
        <w:t>附件1：磋商文件格式</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5"/>
        <w:spacing w:before="0" w:after="0" w:line="360" w:lineRule="auto"/>
        <w:jc w:val="both"/>
        <w:rPr>
          <w:rFonts w:ascii="宋体" w:hAnsi="宋体" w:cs="宋体"/>
          <w:b w:val="0"/>
          <w:color w:val="000000"/>
          <w:sz w:val="44"/>
          <w:szCs w:val="44"/>
        </w:rPr>
      </w:pPr>
      <w:r>
        <w:rPr>
          <w:rFonts w:hint="eastAsia" w:ascii="宋体" w:hAnsi="宋体" w:cs="宋体"/>
          <w:b w:val="0"/>
          <w:color w:val="000000"/>
          <w:sz w:val="44"/>
          <w:szCs w:val="44"/>
        </w:rPr>
        <w:t>封面格式：</w:t>
      </w:r>
    </w:p>
    <w:p>
      <w:pPr>
        <w:rPr>
          <w:rFonts w:ascii="宋体" w:hAnsi="宋体"/>
          <w:color w:val="000000"/>
        </w:rPr>
      </w:pPr>
    </w:p>
    <w:p>
      <w:pPr>
        <w:pStyle w:val="6"/>
        <w:jc w:val="right"/>
        <w:rPr>
          <w:rFonts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jc w:val="center"/>
        <w:rPr>
          <w:rFonts w:ascii="宋体" w:hAnsi="宋体" w:cs="宋体"/>
          <w:b/>
          <w:bCs/>
          <w:color w:val="000000"/>
          <w:sz w:val="48"/>
        </w:rPr>
      </w:pPr>
      <w:r>
        <w:rPr>
          <w:rFonts w:hint="eastAsia" w:ascii="宋体" w:hAnsi="宋体" w:cs="宋体"/>
          <w:b/>
          <w:bCs/>
          <w:color w:val="000000"/>
          <w:sz w:val="48"/>
        </w:rPr>
        <w:t>响应文件</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rFonts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ascii="宋体" w:hAnsi="宋体" w:cs="宋体"/>
          <w:b/>
          <w:bCs/>
          <w:color w:val="000000"/>
          <w:sz w:val="48"/>
        </w:rPr>
      </w:pPr>
    </w:p>
    <w:p>
      <w:pPr>
        <w:spacing w:line="360" w:lineRule="auto"/>
        <w:rPr>
          <w:rFonts w:ascii="宋体" w:hAnsi="宋体" w:cs="宋体"/>
          <w:color w:val="000000"/>
          <w:sz w:val="48"/>
        </w:rPr>
      </w:pPr>
    </w:p>
    <w:p>
      <w:pPr>
        <w:spacing w:line="360" w:lineRule="auto"/>
        <w:rPr>
          <w:rFonts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w:t>
      </w:r>
      <w:r>
        <w:rPr>
          <w:rFonts w:hint="eastAsia" w:ascii="宋体" w:hAnsi="宋体" w:cs="宋体"/>
          <w:b/>
          <w:bCs/>
          <w:color w:val="000000"/>
          <w:sz w:val="48"/>
          <w:lang w:val="en-US" w:eastAsia="zh-CN"/>
        </w:rPr>
        <w:t xml:space="preserve">    </w:t>
      </w:r>
      <w:r>
        <w:rPr>
          <w:rFonts w:hint="eastAsia" w:ascii="宋体" w:hAnsi="宋体" w:cs="宋体"/>
          <w:b/>
          <w:bCs/>
          <w:color w:val="000000"/>
          <w:sz w:val="48"/>
        </w:rPr>
        <w:t>年  月  日</w:t>
      </w: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pStyle w:val="8"/>
        <w:spacing w:line="500" w:lineRule="exact"/>
        <w:ind w:left="0" w:leftChars="0"/>
        <w:jc w:val="both"/>
        <w:rPr>
          <w:rFonts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pStyle w:val="8"/>
        <w:spacing w:line="500" w:lineRule="exact"/>
        <w:ind w:left="0" w:leftChars="0"/>
        <w:jc w:val="center"/>
        <w:rPr>
          <w:rFonts w:hint="eastAsia" w:ascii="宋体" w:hAnsi="宋体"/>
          <w:b/>
          <w:color w:val="000000"/>
          <w:sz w:val="32"/>
          <w:szCs w:val="32"/>
        </w:rPr>
      </w:pP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bCs/>
          <w:color w:val="000000"/>
          <w:sz w:val="28"/>
          <w:szCs w:val="28"/>
        </w:rPr>
      </w:pPr>
      <w:r>
        <w:rPr>
          <w:rFonts w:hint="eastAsia"/>
          <w:color w:val="000000"/>
          <w:sz w:val="28"/>
          <w:szCs w:val="28"/>
        </w:rPr>
        <w:t>1、我公司全面研究了</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人民医院救治能力提标扩能建设项目工程量清单及控制价编制</w:t>
      </w:r>
      <w:r>
        <w:rPr>
          <w:rFonts w:hint="eastAsia"/>
          <w:color w:val="000000"/>
          <w:sz w:val="28"/>
          <w:szCs w:val="28"/>
        </w:rPr>
        <w:t>的院内竞争性磋商文件及相关资料，我们将遵照竞争性磋商文件的要求承担相应的全部工作。</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5、</w:t>
      </w:r>
      <w:bookmarkStart w:id="1" w:name="OLE_LINK1"/>
      <w:bookmarkStart w:id="2" w:name="OLE_LINK2"/>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ascii="宋体" w:hAnsi="宋体"/>
          <w:color w:val="000000"/>
          <w:sz w:val="24"/>
        </w:rPr>
      </w:pPr>
    </w:p>
    <w:p>
      <w:pPr>
        <w:spacing w:line="480" w:lineRule="auto"/>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rPr>
          <w:rFonts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ascii="宋体" w:hAnsi="宋体"/>
          <w:b/>
          <w:color w:val="000000"/>
          <w:sz w:val="28"/>
          <w:szCs w:val="28"/>
        </w:rPr>
      </w:pPr>
    </w:p>
    <w:p>
      <w:pPr>
        <w:pStyle w:val="6"/>
        <w:rPr>
          <w:color w:val="000000"/>
        </w:rPr>
      </w:pPr>
    </w:p>
    <w:p>
      <w:pPr>
        <w:pStyle w:val="6"/>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6"/>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color w:val="000000"/>
        </w:rPr>
      </w:pPr>
    </w:p>
    <w:p>
      <w:pPr>
        <w:rPr>
          <w:color w:val="000000"/>
        </w:rPr>
      </w:pPr>
    </w:p>
    <w:p>
      <w:pPr>
        <w:pStyle w:val="6"/>
        <w:rPr>
          <w:rFonts w:ascii="宋体" w:hAnsi="宋体"/>
          <w:color w:val="000000"/>
        </w:rPr>
      </w:pPr>
    </w:p>
    <w:p>
      <w:pPr>
        <w:rPr>
          <w:rFonts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both"/>
        <w:rPr>
          <w:rFonts w:ascii="宋体" w:hAnsi="宋体"/>
          <w:b/>
          <w:color w:val="000000"/>
          <w:sz w:val="28"/>
          <w:szCs w:val="28"/>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rPr>
          <w:rFonts w:ascii="宋体" w:hAnsi="宋体"/>
          <w:b/>
          <w:color w:val="000000"/>
          <w:sz w:val="24"/>
        </w:rPr>
      </w:pPr>
      <w:r>
        <w:rPr>
          <w:rFonts w:hint="eastAsia" w:ascii="宋体" w:hAnsi="宋体"/>
          <w:b/>
          <w:color w:val="000000"/>
          <w:sz w:val="24"/>
        </w:rPr>
        <w:t xml:space="preserve">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6"/>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6"/>
        <w:rPr>
          <w:rFonts w:ascii="宋体" w:hAnsi="宋体"/>
          <w:b/>
          <w:color w:val="000000"/>
          <w:sz w:val="28"/>
          <w:szCs w:val="28"/>
        </w:rPr>
      </w:pPr>
    </w:p>
    <w:p>
      <w:pPr>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pStyle w:val="8"/>
        <w:spacing w:line="500" w:lineRule="exact"/>
        <w:ind w:left="0" w:leftChars="0"/>
        <w:jc w:val="center"/>
        <w:rPr>
          <w:rFonts w:hint="eastAsia"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8"/>
        <w:spacing w:line="500" w:lineRule="exact"/>
        <w:ind w:left="0" w:leftChars="0" w:firstLine="0" w:firstLineChars="0"/>
        <w:rPr>
          <w:rFonts w:ascii="宋体" w:hAnsi="宋体"/>
          <w:b/>
          <w:color w:val="000000"/>
          <w:sz w:val="32"/>
          <w:szCs w:val="32"/>
        </w:rPr>
      </w:pPr>
      <w:r>
        <w:rPr>
          <w:rFonts w:hint="eastAsia" w:ascii="宋体" w:hAnsi="宋体"/>
          <w:color w:val="000000"/>
          <w:sz w:val="28"/>
          <w:szCs w:val="28"/>
        </w:rPr>
        <w:t>日  期：      年     月   日</w:t>
      </w: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法定代表人身份证明</w:t>
      </w:r>
    </w:p>
    <w:p>
      <w:pPr>
        <w:pStyle w:val="8"/>
        <w:spacing w:line="500" w:lineRule="exact"/>
        <w:ind w:left="0" w:leftChars="0"/>
        <w:jc w:val="center"/>
        <w:rPr>
          <w:rFonts w:hint="eastAsia" w:ascii="宋体" w:hAnsi="宋体"/>
          <w:b/>
          <w:color w:val="000000"/>
          <w:sz w:val="32"/>
          <w:szCs w:val="32"/>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8"/>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pStyle w:val="6"/>
        <w:rPr>
          <w:rFonts w:ascii="宋体" w:hAnsi="宋体" w:cs="宋体"/>
          <w:bCs/>
          <w:color w:val="000000"/>
          <w:sz w:val="22"/>
        </w:rPr>
      </w:pPr>
    </w:p>
    <w:p>
      <w:pPr>
        <w:widowControl/>
        <w:spacing w:line="330" w:lineRule="atLeast"/>
        <w:jc w:val="left"/>
        <w:rPr>
          <w:rFonts w:ascii="宋体" w:hAnsi="宋体" w:cs="宋体"/>
          <w:bCs/>
          <w:color w:val="000000"/>
          <w:kern w:val="0"/>
          <w:sz w:val="22"/>
        </w:rPr>
      </w:pPr>
    </w:p>
    <w:p>
      <w:pPr>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br w:type="page"/>
      </w:r>
    </w:p>
    <w:p>
      <w:pPr>
        <w:widowControl/>
        <w:spacing w:line="330" w:lineRule="atLeast"/>
        <w:jc w:val="left"/>
        <w:rPr>
          <w:rFonts w:ascii="宋体" w:hAnsi="宋体" w:cs="宋体"/>
          <w:b/>
          <w:color w:val="000000"/>
          <w:kern w:val="0"/>
          <w:sz w:val="28"/>
          <w:szCs w:val="28"/>
        </w:rPr>
      </w:pPr>
      <w:r>
        <w:rPr>
          <w:rFonts w:hint="eastAsia" w:ascii="宋体" w:hAnsi="宋体" w:cs="宋体"/>
          <w:b/>
          <w:color w:val="000000"/>
          <w:kern w:val="0"/>
          <w:sz w:val="28"/>
          <w:szCs w:val="28"/>
        </w:rPr>
        <w:t>附件2：竞争性磋商评分表</w:t>
      </w:r>
    </w:p>
    <w:tbl>
      <w:tblPr>
        <w:tblStyle w:val="10"/>
        <w:tblW w:w="9323"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28"/>
        <w:gridCol w:w="655"/>
        <w:gridCol w:w="590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序号</w:t>
            </w:r>
          </w:p>
        </w:tc>
        <w:tc>
          <w:tcPr>
            <w:tcW w:w="828"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评分因素及权重</w:t>
            </w:r>
          </w:p>
        </w:tc>
        <w:tc>
          <w:tcPr>
            <w:tcW w:w="65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分值</w:t>
            </w:r>
          </w:p>
        </w:tc>
        <w:tc>
          <w:tcPr>
            <w:tcW w:w="590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评分标准</w:t>
            </w:r>
          </w:p>
        </w:tc>
        <w:tc>
          <w:tcPr>
            <w:tcW w:w="1380"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1</w:t>
            </w:r>
          </w:p>
        </w:tc>
        <w:tc>
          <w:tcPr>
            <w:tcW w:w="828"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报价</w:t>
            </w:r>
          </w:p>
        </w:tc>
        <w:tc>
          <w:tcPr>
            <w:tcW w:w="655" w:type="dxa"/>
            <w:noWrap/>
            <w:vAlign w:val="center"/>
          </w:tcPr>
          <w:p>
            <w:pPr>
              <w:wordWrap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30</w:t>
            </w:r>
          </w:p>
        </w:tc>
        <w:tc>
          <w:tcPr>
            <w:tcW w:w="5905" w:type="dxa"/>
            <w:noWrap/>
            <w:vAlign w:val="center"/>
          </w:tcPr>
          <w:p>
            <w:pPr>
              <w:wordWrap w:val="0"/>
              <w:spacing w:line="280" w:lineRule="exact"/>
              <w:jc w:val="left"/>
              <w:rPr>
                <w:rFonts w:ascii="宋体" w:hAnsi="宋体" w:cs="宋体"/>
                <w:color w:val="000000"/>
                <w:szCs w:val="21"/>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380" w:type="dxa"/>
            <w:noWrap/>
          </w:tcPr>
          <w:p>
            <w:pPr>
              <w:autoSpaceDE w:val="0"/>
              <w:autoSpaceDN w:val="0"/>
              <w:adjustRightInd w:val="0"/>
              <w:spacing w:line="28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2</w:t>
            </w:r>
          </w:p>
        </w:tc>
        <w:tc>
          <w:tcPr>
            <w:tcW w:w="828" w:type="dxa"/>
            <w:noWrap/>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业绩</w:t>
            </w:r>
          </w:p>
        </w:tc>
        <w:tc>
          <w:tcPr>
            <w:tcW w:w="655" w:type="dxa"/>
            <w:noWrap/>
            <w:vAlign w:val="center"/>
          </w:tcPr>
          <w:p>
            <w:pPr>
              <w:wordWrap w:val="0"/>
              <w:spacing w:line="28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c>
          <w:tcPr>
            <w:tcW w:w="5905" w:type="dxa"/>
            <w:noWrap/>
            <w:vAlign w:val="center"/>
          </w:tcPr>
          <w:p>
            <w:pPr>
              <w:spacing w:line="280" w:lineRule="exact"/>
              <w:jc w:val="left"/>
              <w:rPr>
                <w:rFonts w:hint="eastAsia" w:ascii="宋体" w:hAnsi="宋体" w:eastAsia="宋体" w:cs="宋体"/>
                <w:color w:val="00B0F0"/>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020</w:t>
            </w:r>
            <w:r>
              <w:rPr>
                <w:rFonts w:hint="eastAsia" w:ascii="宋体" w:hAnsi="宋体" w:eastAsia="宋体" w:cs="宋体"/>
                <w:sz w:val="21"/>
                <w:szCs w:val="21"/>
              </w:rPr>
              <w:t>年1月1日至今（以委托协议日期为准）承担过1个已完成或正在实施的</w:t>
            </w:r>
            <w:r>
              <w:rPr>
                <w:rFonts w:hint="eastAsia" w:ascii="宋体" w:hAnsi="宋体" w:eastAsia="宋体" w:cs="宋体"/>
                <w:sz w:val="21"/>
                <w:szCs w:val="21"/>
                <w:lang w:val="en-US" w:eastAsia="zh-CN"/>
              </w:rPr>
              <w:t>工程量清单及控制价编制</w:t>
            </w:r>
            <w:r>
              <w:rPr>
                <w:rFonts w:hint="eastAsia" w:ascii="宋体" w:hAnsi="宋体" w:eastAsia="宋体" w:cs="宋体"/>
                <w:sz w:val="21"/>
                <w:szCs w:val="21"/>
              </w:rPr>
              <w:t>业绩得</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每增加1个</w:t>
            </w:r>
            <w:r>
              <w:rPr>
                <w:rFonts w:hint="eastAsia" w:ascii="宋体" w:hAnsi="宋体" w:eastAsia="宋体" w:cs="宋体"/>
                <w:sz w:val="21"/>
                <w:szCs w:val="21"/>
                <w:lang w:val="en-US" w:eastAsia="zh-CN"/>
              </w:rPr>
              <w:t>已完成或正在实施的业绩加</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cs="宋体"/>
                <w:sz w:val="21"/>
                <w:szCs w:val="21"/>
                <w:lang w:eastAsia="zh-CN"/>
              </w:rPr>
              <w:t>，</w:t>
            </w:r>
            <w:r>
              <w:rPr>
                <w:rFonts w:hint="eastAsia" w:ascii="宋体" w:hAnsi="宋体" w:eastAsia="宋体" w:cs="宋体"/>
                <w:sz w:val="21"/>
                <w:szCs w:val="21"/>
                <w:lang w:val="en-US" w:eastAsia="zh-CN"/>
              </w:rPr>
              <w:t>本项最高的</w:t>
            </w:r>
            <w:r>
              <w:rPr>
                <w:rFonts w:hint="eastAsia" w:ascii="宋体" w:hAnsi="宋体" w:eastAsia="宋体" w:cs="宋体"/>
                <w:sz w:val="21"/>
                <w:szCs w:val="21"/>
              </w:rPr>
              <w:t>分</w:t>
            </w:r>
            <w:r>
              <w:rPr>
                <w:rFonts w:hint="eastAsia" w:ascii="宋体" w:hAnsi="宋体" w:cs="宋体"/>
                <w:sz w:val="21"/>
                <w:szCs w:val="21"/>
                <w:lang w:val="en-US" w:eastAsia="zh-CN"/>
              </w:rPr>
              <w:t>10</w:t>
            </w:r>
            <w:r>
              <w:rPr>
                <w:rFonts w:hint="eastAsia" w:ascii="宋体" w:hAnsi="宋体" w:eastAsia="宋体" w:cs="宋体"/>
                <w:sz w:val="21"/>
                <w:szCs w:val="21"/>
              </w:rPr>
              <w:t>分</w:t>
            </w:r>
            <w:r>
              <w:rPr>
                <w:rFonts w:hint="eastAsia" w:ascii="宋体" w:hAnsi="宋体" w:cs="宋体"/>
                <w:sz w:val="21"/>
                <w:szCs w:val="21"/>
                <w:lang w:eastAsia="zh-CN"/>
              </w:rPr>
              <w:t>。</w:t>
            </w:r>
          </w:p>
        </w:tc>
        <w:tc>
          <w:tcPr>
            <w:tcW w:w="1380" w:type="dxa"/>
            <w:noWrap/>
            <w:vAlign w:val="center"/>
          </w:tcPr>
          <w:p>
            <w:pPr>
              <w:spacing w:line="280" w:lineRule="exact"/>
              <w:ind w:right="-20"/>
              <w:jc w:val="center"/>
              <w:rPr>
                <w:rFonts w:ascii="宋体" w:hAnsi="宋体" w:cs="宋体"/>
                <w:color w:val="000000"/>
              </w:rPr>
            </w:pPr>
            <w:r>
              <w:rPr>
                <w:rFonts w:hint="eastAsia" w:ascii="宋体" w:hAnsi="宋体" w:cs="宋体"/>
                <w:szCs w:val="21"/>
                <w:lang w:val="zh-CN"/>
              </w:rPr>
              <w:t>提供相关合同</w:t>
            </w:r>
            <w:r>
              <w:rPr>
                <w:rFonts w:hint="eastAsia" w:ascii="宋体" w:hAnsi="宋体" w:cs="宋体"/>
                <w:szCs w:val="21"/>
              </w:rPr>
              <w:t>或</w:t>
            </w:r>
            <w:r>
              <w:rPr>
                <w:rFonts w:hint="eastAsia" w:ascii="宋体" w:hAnsi="宋体" w:cs="宋体"/>
                <w:szCs w:val="21"/>
                <w:lang w:val="zh-CN"/>
              </w:rPr>
              <w:t>协议文件</w:t>
            </w:r>
            <w:r>
              <w:rPr>
                <w:rFonts w:hint="eastAsia" w:ascii="宋体" w:hAnsi="宋体" w:cs="宋体"/>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28" w:type="dxa"/>
            <w:noWrap/>
            <w:vAlign w:val="center"/>
          </w:tcPr>
          <w:p>
            <w:pPr>
              <w:numPr>
                <w:ilvl w:val="0"/>
                <w:numId w:val="0"/>
              </w:numPr>
              <w:wordWrap w:val="0"/>
              <w:spacing w:line="276"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员</w:t>
            </w:r>
            <w:r>
              <w:rPr>
                <w:rFonts w:hint="eastAsia" w:ascii="宋体" w:hAnsi="宋体" w:cs="宋体"/>
                <w:color w:val="000000" w:themeColor="text1"/>
                <w:sz w:val="24"/>
                <w:lang w:eastAsia="zh-CN"/>
                <w14:textFill>
                  <w14:solidFill>
                    <w14:schemeClr w14:val="tx1"/>
                  </w14:solidFill>
                </w14:textFill>
              </w:rPr>
              <w:t>配</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备</w:t>
            </w:r>
          </w:p>
          <w:p>
            <w:pPr>
              <w:wordWrap w:val="0"/>
              <w:spacing w:line="280" w:lineRule="exact"/>
              <w:jc w:val="center"/>
              <w:rPr>
                <w:rFonts w:ascii="宋体" w:hAnsi="宋体" w:cs="宋体"/>
                <w:bCs/>
                <w:color w:val="000000" w:themeColor="text1"/>
                <w:szCs w:val="21"/>
                <w14:textFill>
                  <w14:solidFill>
                    <w14:schemeClr w14:val="tx1"/>
                  </w14:solidFill>
                </w14:textFill>
              </w:rPr>
            </w:pPr>
          </w:p>
        </w:tc>
        <w:tc>
          <w:tcPr>
            <w:tcW w:w="655" w:type="dxa"/>
            <w:noWrap/>
            <w:vAlign w:val="center"/>
          </w:tcPr>
          <w:p>
            <w:pPr>
              <w:autoSpaceDE w:val="0"/>
              <w:autoSpaceDN w:val="0"/>
              <w:adjustRightIn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w:t>
            </w:r>
          </w:p>
        </w:tc>
        <w:tc>
          <w:tcPr>
            <w:tcW w:w="5905" w:type="dxa"/>
            <w:noWrap/>
            <w:vAlign w:val="center"/>
          </w:tcPr>
          <w:p>
            <w:pPr>
              <w:numPr>
                <w:ilvl w:val="0"/>
                <w:numId w:val="0"/>
              </w:numPr>
              <w:wordWrap w:val="0"/>
              <w:spacing w:line="276" w:lineRule="auto"/>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1、土建负责人（1人）：具有全国注册造价工程师（土建一级）得5分，共计5分。</w:t>
            </w:r>
          </w:p>
          <w:p>
            <w:pPr>
              <w:numPr>
                <w:ilvl w:val="0"/>
                <w:numId w:val="0"/>
              </w:numPr>
              <w:wordWrap w:val="0"/>
              <w:spacing w:line="276" w:lineRule="auto"/>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2、安装负责人（1人）：具有全国注册造价工程师（安装一级）得5分，共计5分。</w:t>
            </w:r>
          </w:p>
          <w:p>
            <w:pPr>
              <w:numPr>
                <w:ilvl w:val="0"/>
                <w:numId w:val="0"/>
              </w:numPr>
              <w:wordWrap w:val="0"/>
              <w:spacing w:line="276" w:lineRule="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3、其他工程师：具有全国注册二级造价师（土建、安装类）及以上资格，一人得2分，共计10分。</w:t>
            </w:r>
          </w:p>
          <w:p>
            <w:pPr>
              <w:numPr>
                <w:ilvl w:val="0"/>
                <w:numId w:val="1"/>
              </w:numPr>
              <w:wordWrap w:val="0"/>
              <w:spacing w:line="276" w:lineRule="auto"/>
              <w:rPr>
                <w:color w:val="000000" w:themeColor="text1"/>
                <w14:textFill>
                  <w14:solidFill>
                    <w14:schemeClr w14:val="tx1"/>
                  </w14:solidFill>
                </w14:textFill>
              </w:rPr>
            </w:pPr>
            <w:r>
              <w:rPr>
                <w:rFonts w:hint="eastAsia"/>
                <w:color w:val="000000" w:themeColor="text1"/>
                <w:szCs w:val="22"/>
                <w:lang w:val="en-US" w:eastAsia="zh-CN"/>
                <w14:textFill>
                  <w14:solidFill>
                    <w14:schemeClr w14:val="tx1"/>
                  </w14:solidFill>
                </w14:textFill>
              </w:rPr>
              <w:t>注：提供相关证书复印件加盖公章（原件备查）；提供在本单位近6个月缴纳社保记录复印件加盖公章。</w:t>
            </w:r>
          </w:p>
        </w:tc>
        <w:tc>
          <w:tcPr>
            <w:tcW w:w="1380" w:type="dxa"/>
            <w:noWrap/>
            <w:vAlign w:val="center"/>
          </w:tcPr>
          <w:p>
            <w:pPr>
              <w:autoSpaceDE w:val="0"/>
              <w:autoSpaceDN w:val="0"/>
              <w:adjustRightInd w:val="0"/>
              <w:spacing w:line="280" w:lineRule="exact"/>
              <w:jc w:val="center"/>
              <w:rPr>
                <w:rFonts w:ascii="宋体" w:hAnsi="宋体"/>
                <w:color w:val="000000" w:themeColor="text1"/>
                <w:sz w:val="24"/>
                <w14:textFill>
                  <w14:solidFill>
                    <w14:schemeClr w14:val="tx1"/>
                  </w14:solidFill>
                </w14:textFill>
              </w:rPr>
            </w:pPr>
            <w:r>
              <w:rPr>
                <w:rFonts w:hint="eastAsia"/>
                <w:color w:val="000000" w:themeColor="text1"/>
                <w:szCs w:val="22"/>
                <w14:textFill>
                  <w14:solidFill>
                    <w14:schemeClr w14:val="tx1"/>
                  </w14:solidFill>
                </w14:textFill>
              </w:rPr>
              <w:t>提供相关人员职称证、注册证等扫描件或复印件证明材料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828" w:type="dxa"/>
            <w:noWrap/>
            <w:vAlign w:val="center"/>
          </w:tcPr>
          <w:p>
            <w:pPr>
              <w:wordWrap w:val="0"/>
              <w:spacing w:line="280" w:lineRule="exact"/>
              <w:jc w:val="center"/>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w:t>
            </w:r>
          </w:p>
        </w:tc>
        <w:tc>
          <w:tcPr>
            <w:tcW w:w="655" w:type="dxa"/>
            <w:noWrap/>
            <w:vAlign w:val="center"/>
          </w:tcPr>
          <w:p>
            <w:pPr>
              <w:autoSpaceDE w:val="0"/>
              <w:autoSpaceDN w:val="0"/>
              <w:adjustRightInd w:val="0"/>
              <w:spacing w:line="276"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35</w:t>
            </w:r>
          </w:p>
        </w:tc>
        <w:tc>
          <w:tcPr>
            <w:tcW w:w="5905" w:type="dxa"/>
            <w:noWrap/>
            <w:vAlign w:val="center"/>
          </w:tcPr>
          <w:p>
            <w:pPr>
              <w:widowControl/>
              <w:spacing w:line="240" w:lineRule="auto"/>
              <w:jc w:val="left"/>
              <w:rPr>
                <w:rFonts w:hint="eastAsia"/>
                <w:lang w:val="en-US" w:eastAsia="zh-CN"/>
              </w:rPr>
            </w:pPr>
            <w:r>
              <w:rPr>
                <w:rFonts w:hint="eastAsia"/>
                <w:lang w:val="en-US" w:eastAsia="zh-CN"/>
              </w:rPr>
              <w:t>1、内控制度：内控制度方面包括不限于①质量控制管理②风险管理③档案管理④岗位职责制度⑤保密制度等。</w:t>
            </w:r>
          </w:p>
          <w:p>
            <w:pPr>
              <w:numPr>
                <w:ilvl w:val="0"/>
                <w:numId w:val="0"/>
              </w:numPr>
              <w:wordWrap w:val="0"/>
              <w:spacing w:line="276" w:lineRule="auto"/>
              <w:rPr>
                <w:rFonts w:hint="eastAsia"/>
              </w:rPr>
            </w:pPr>
            <w:r>
              <w:rPr>
                <w:rFonts w:hint="eastAsia"/>
                <w:lang w:val="en-US" w:eastAsia="zh-CN"/>
              </w:rPr>
              <w:t>以上内容详细、全面、合理、有针对性且适合本项目实际情况，每单项优得3分，良得2分，一般得1分.共计15分。</w:t>
            </w:r>
          </w:p>
          <w:p>
            <w:pPr>
              <w:widowControl/>
              <w:spacing w:line="240" w:lineRule="auto"/>
              <w:jc w:val="left"/>
              <w:rPr>
                <w:rFonts w:hint="eastAsia"/>
              </w:rPr>
            </w:pPr>
            <w:r>
              <w:rPr>
                <w:rFonts w:hint="eastAsia"/>
                <w:lang w:val="en-US" w:eastAsia="zh-CN"/>
              </w:rPr>
              <w:t>2、投标人按项目基本情况并结合自身经验编制该项目造价咨询服务方案，方案包括但不限于①编制目标及依据②编制时间安排、步骤③编制的重难点分析及应对措施④编制风险分析及措施⑤人员组织、分工、配合、现场办公设备（包括但不限于：电脑、打印机、软件等）等。以上内容详细、全面、合理，可操作性强，每单项项优得4分，良得3分，一般得1.5分，共计20分，未针对本项目编写不得分。</w:t>
            </w:r>
          </w:p>
        </w:tc>
        <w:tc>
          <w:tcPr>
            <w:tcW w:w="1380" w:type="dxa"/>
            <w:noWrap/>
            <w:vAlign w:val="center"/>
          </w:tcPr>
          <w:p>
            <w:pPr>
              <w:spacing w:line="280" w:lineRule="exact"/>
              <w:ind w:right="-23"/>
              <w:jc w:val="center"/>
              <w:rPr>
                <w:rFonts w:ascii="宋体" w:hAnsi="宋体"/>
                <w:color w:val="000000" w:themeColor="text1"/>
                <w:sz w:val="24"/>
                <w14:textFill>
                  <w14:solidFill>
                    <w14:schemeClr w14:val="tx1"/>
                  </w14:solidFill>
                </w14:textFill>
              </w:rPr>
            </w:pPr>
          </w:p>
        </w:tc>
      </w:tr>
      <w:bookmarkEnd w:id="3"/>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65" w:hRule="atLeast"/>
        </w:trPr>
        <w:tc>
          <w:tcPr>
            <w:tcW w:w="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default"/>
                <w:lang w:val="en-US" w:eastAsia="zh-CN"/>
              </w:rPr>
            </w:pPr>
            <w:r>
              <w:rPr>
                <w:rFonts w:hint="eastAsia"/>
                <w:lang w:val="en-US" w:eastAsia="zh-CN"/>
              </w:rPr>
              <w:t>5</w:t>
            </w:r>
          </w:p>
        </w:tc>
        <w:tc>
          <w:tcPr>
            <w:tcW w:w="82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响应文件的规范性</w:t>
            </w:r>
          </w:p>
        </w:tc>
        <w:tc>
          <w:tcPr>
            <w:tcW w:w="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5分</w:t>
            </w:r>
          </w:p>
          <w:p>
            <w:pPr>
              <w:widowControl/>
              <w:spacing w:line="240" w:lineRule="auto"/>
              <w:jc w:val="center"/>
              <w:rPr>
                <w:rFonts w:hint="eastAsia"/>
                <w:lang w:val="en-US" w:eastAsia="zh-CN"/>
              </w:rPr>
            </w:pPr>
          </w:p>
        </w:tc>
        <w:tc>
          <w:tcPr>
            <w:tcW w:w="59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响应文件制作规范，没有细微偏差情形的得5分，有一项细微偏差扣1分，直至该项分值扣完为止。</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ind w:firstLine="420" w:firstLineChars="200"/>
              <w:jc w:val="left"/>
              <w:rPr>
                <w:rFonts w:hint="eastAsia" w:ascii="仿宋_GB2312" w:hAnsi="Times New Roman" w:eastAsia="仿宋_GB2312" w:cs="Times New Roman"/>
                <w:color w:val="auto"/>
                <w:sz w:val="21"/>
                <w:szCs w:val="21"/>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CE3DD"/>
    <w:multiLevelType w:val="singleLevel"/>
    <w:tmpl w:val="72ECE3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8B2008"/>
    <w:rsid w:val="0F6E2388"/>
    <w:rsid w:val="14B8345F"/>
    <w:rsid w:val="1C113504"/>
    <w:rsid w:val="1F75336D"/>
    <w:rsid w:val="270E64D3"/>
    <w:rsid w:val="27EA794D"/>
    <w:rsid w:val="2FC52E57"/>
    <w:rsid w:val="372D2589"/>
    <w:rsid w:val="3AFB2473"/>
    <w:rsid w:val="3DAD69FC"/>
    <w:rsid w:val="4869103F"/>
    <w:rsid w:val="4963549A"/>
    <w:rsid w:val="4D754306"/>
    <w:rsid w:val="500B7E4C"/>
    <w:rsid w:val="50125740"/>
    <w:rsid w:val="56A143BE"/>
    <w:rsid w:val="5B1419A0"/>
    <w:rsid w:val="78B66E51"/>
    <w:rsid w:val="7B3E36DA"/>
    <w:rsid w:val="7F70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color w:val="FF0000"/>
      <w:kern w:val="0"/>
      <w:sz w:val="22"/>
      <w:szCs w:val="24"/>
    </w:rPr>
  </w:style>
  <w:style w:type="paragraph" w:styleId="3">
    <w:name w:val="Body Text Indent"/>
    <w:basedOn w:val="1"/>
    <w:next w:val="1"/>
    <w:qFormat/>
    <w:uiPriority w:val="0"/>
    <w:pPr>
      <w:ind w:firstLine="630"/>
    </w:pPr>
    <w:rPr>
      <w:sz w:val="32"/>
      <w:szCs w:val="20"/>
    </w:r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unhideWhenUsed/>
    <w:qFormat/>
    <w:uiPriority w:val="99"/>
    <w:pPr>
      <w:spacing w:after="120"/>
    </w:pPr>
  </w:style>
  <w:style w:type="paragraph" w:styleId="8">
    <w:name w:val="List Continue 2"/>
    <w:basedOn w:val="1"/>
    <w:qFormat/>
    <w:uiPriority w:val="0"/>
    <w:pPr>
      <w:spacing w:after="120"/>
      <w:ind w:left="840" w:leftChars="400"/>
    </w:pPr>
  </w:style>
  <w:style w:type="paragraph" w:styleId="9">
    <w:name w:val="Body Text First Indent"/>
    <w:basedOn w:val="7"/>
    <w:next w:val="2"/>
    <w:qFormat/>
    <w:uiPriority w:val="0"/>
    <w:pPr>
      <w:tabs>
        <w:tab w:val="left" w:pos="2138"/>
      </w:tabs>
      <w:spacing w:line="240" w:lineRule="auto"/>
      <w:ind w:firstLine="420" w:firstLineChars="100"/>
    </w:pPr>
    <w:rPr>
      <w:rFonts w:ascii="宋体" w:hAnsi="Times New Roman" w:eastAsia="宋体"/>
      <w:kern w:val="0"/>
      <w:sz w:val="20"/>
      <w:szCs w:val="24"/>
    </w:rPr>
  </w:style>
  <w:style w:type="paragraph" w:customStyle="1" w:styleId="12">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4065</Words>
  <Characters>4170</Characters>
  <Lines>0</Lines>
  <Paragraphs>0</Paragraphs>
  <TotalTime>176</TotalTime>
  <ScaleCrop>false</ScaleCrop>
  <LinksUpToDate>false</LinksUpToDate>
  <CharactersWithSpaces>4739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2023-07-25T03:53:22Z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9632B57809674CB990D2BAE1D2327B19_13</vt:lpwstr>
  </property>
</Properties>
</file>