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center"/>
        <w:rPr>
          <w:rFonts w:cs="Arial"/>
          <w:bCs w:val="0"/>
          <w:sz w:val="44"/>
          <w:szCs w:val="44"/>
        </w:rPr>
      </w:pPr>
      <w:r>
        <w:rPr>
          <w:rFonts w:hint="eastAsia" w:cs="Arial"/>
          <w:bCs w:val="0"/>
          <w:sz w:val="44"/>
          <w:szCs w:val="44"/>
          <w:lang w:val="en-US" w:eastAsia="zh-CN"/>
        </w:rPr>
        <w:t>世行优惠紧急贷款三台人民医院灾后恢复重建项目竣工测绘和总建筑面积实测</w:t>
      </w:r>
      <w:r>
        <w:rPr>
          <w:rFonts w:cs="Arial"/>
          <w:bCs w:val="0"/>
          <w:sz w:val="44"/>
          <w:szCs w:val="44"/>
        </w:rPr>
        <w:t>采购</w:t>
      </w:r>
    </w:p>
    <w:p>
      <w:pPr>
        <w:jc w:val="center"/>
        <w:rPr>
          <w:rFonts w:ascii="宋体" w:hAnsi="宋体"/>
          <w:b/>
          <w:color w:val="000000"/>
          <w:sz w:val="44"/>
          <w:szCs w:val="44"/>
        </w:rPr>
      </w:pPr>
    </w:p>
    <w:p>
      <w:pPr>
        <w:jc w:val="center"/>
        <w:rPr>
          <w:rFonts w:ascii="宋体" w:hAnsi="宋体"/>
          <w:b/>
          <w:color w:val="000000"/>
          <w:sz w:val="36"/>
          <w:szCs w:val="36"/>
        </w:rPr>
      </w:pPr>
    </w:p>
    <w:p>
      <w:pPr>
        <w:jc w:val="center"/>
        <w:rPr>
          <w:rFonts w:ascii="宋体" w:hAnsi="宋体"/>
          <w:b/>
          <w:color w:val="000000"/>
          <w:sz w:val="36"/>
          <w:szCs w:val="36"/>
        </w:rPr>
      </w:pPr>
    </w:p>
    <w:p>
      <w:pPr>
        <w:spacing w:line="900" w:lineRule="exact"/>
        <w:jc w:val="center"/>
        <w:rPr>
          <w:rFonts w:ascii="宋体" w:hAnsi="宋体"/>
          <w:b/>
          <w:color w:val="000000"/>
          <w:sz w:val="30"/>
          <w:szCs w:val="30"/>
        </w:rPr>
      </w:pPr>
      <w:r>
        <w:rPr>
          <w:rFonts w:hint="eastAsia" w:ascii="宋体" w:hAnsi="宋体"/>
          <w:b/>
          <w:color w:val="000000"/>
          <w:sz w:val="56"/>
          <w:szCs w:val="36"/>
        </w:rPr>
        <w:t>院内竞争性磋商文件</w:t>
      </w: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pStyle w:val="2"/>
      </w:pPr>
    </w:p>
    <w:p>
      <w:pPr>
        <w:spacing w:line="900" w:lineRule="exact"/>
        <w:ind w:firstLine="2409" w:firstLineChars="800"/>
        <w:rPr>
          <w:rFonts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ascii="宋体" w:hAnsi="宋体"/>
          <w:b/>
          <w:color w:val="000000"/>
          <w:sz w:val="30"/>
          <w:szCs w:val="30"/>
          <w:u w:val="single"/>
        </w:rPr>
      </w:pPr>
    </w:p>
    <w:p>
      <w:pPr>
        <w:spacing w:line="900" w:lineRule="exact"/>
        <w:ind w:firstLine="3614" w:firstLineChars="1200"/>
        <w:rPr>
          <w:rFonts w:ascii="宋体" w:hAnsi="宋体"/>
          <w:b/>
          <w:color w:val="000000"/>
          <w:sz w:val="30"/>
          <w:szCs w:val="30"/>
        </w:rPr>
      </w:pPr>
      <w:r>
        <w:rPr>
          <w:rFonts w:hint="eastAsia" w:ascii="宋体" w:hAnsi="宋体"/>
          <w:b/>
          <w:color w:val="000000"/>
          <w:sz w:val="30"/>
          <w:szCs w:val="30"/>
        </w:rPr>
        <w:t>2023年</w:t>
      </w:r>
      <w:r>
        <w:rPr>
          <w:rFonts w:ascii="宋体" w:hAnsi="宋体"/>
          <w:b/>
          <w:color w:val="000000"/>
          <w:sz w:val="30"/>
          <w:szCs w:val="30"/>
        </w:rPr>
        <w:t xml:space="preserve"> </w:t>
      </w:r>
      <w:r>
        <w:rPr>
          <w:rFonts w:hint="eastAsia" w:ascii="宋体" w:hAnsi="宋体"/>
          <w:b/>
          <w:color w:val="000000"/>
          <w:sz w:val="30"/>
          <w:szCs w:val="30"/>
          <w:lang w:val="en-US" w:eastAsia="zh-CN"/>
        </w:rPr>
        <w:t>7</w:t>
      </w:r>
      <w:r>
        <w:rPr>
          <w:rFonts w:hint="eastAsia" w:ascii="宋体" w:hAnsi="宋体"/>
          <w:b/>
          <w:color w:val="000000"/>
          <w:sz w:val="30"/>
          <w:szCs w:val="30"/>
        </w:rPr>
        <w:t>月</w:t>
      </w:r>
    </w:p>
    <w:p>
      <w:pPr>
        <w:rPr>
          <w:rFonts w:ascii="宋体" w:hAnsi="宋体"/>
          <w:b/>
          <w:color w:val="000000"/>
          <w:sz w:val="36"/>
          <w:szCs w:val="36"/>
        </w:rPr>
      </w:pPr>
    </w:p>
    <w:p>
      <w:pPr>
        <w:rPr>
          <w:rFonts w:ascii="宋体" w:hAnsi="宋体"/>
          <w:b/>
          <w:color w:val="000000"/>
          <w:sz w:val="36"/>
          <w:szCs w:val="36"/>
        </w:rPr>
      </w:pPr>
    </w:p>
    <w:p>
      <w:pPr>
        <w:jc w:val="center"/>
        <w:rPr>
          <w:rFonts w:ascii="宋体" w:hAnsi="宋体"/>
          <w:b/>
          <w:color w:val="000000"/>
          <w:sz w:val="36"/>
          <w:szCs w:val="36"/>
        </w:rPr>
      </w:pPr>
    </w:p>
    <w:p>
      <w:pPr>
        <w:spacing w:after="240"/>
        <w:jc w:val="center"/>
        <w:rPr>
          <w:rFonts w:ascii="宋体" w:hAnsi="宋体"/>
          <w:b/>
          <w:color w:val="000000"/>
          <w:sz w:val="36"/>
          <w:szCs w:val="36"/>
        </w:rPr>
      </w:pPr>
    </w:p>
    <w:p>
      <w:pPr>
        <w:rPr>
          <w:rFonts w:hint="eastAsia" w:ascii="宋体" w:hAnsi="宋体"/>
          <w:b/>
          <w:color w:val="000000"/>
          <w:sz w:val="32"/>
          <w:szCs w:val="32"/>
        </w:rPr>
      </w:pPr>
    </w:p>
    <w:p>
      <w:pPr>
        <w:pStyle w:val="2"/>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480" w:lineRule="exact"/>
        <w:ind w:right="640"/>
        <w:jc w:val="center"/>
        <w:textAlignment w:val="auto"/>
        <w:rPr>
          <w:rFonts w:hint="eastAsia" w:ascii="宋体" w:hAnsi="宋体" w:cs="宋体"/>
          <w:b/>
          <w:bCs/>
          <w:color w:val="000000"/>
          <w:kern w:val="0"/>
          <w:sz w:val="32"/>
          <w:szCs w:val="32"/>
        </w:rPr>
      </w:pPr>
      <w:r>
        <w:rPr>
          <w:rFonts w:hint="eastAsia" w:ascii="宋体" w:hAnsi="宋体" w:cs="宋体"/>
          <w:b/>
          <w:bCs/>
          <w:color w:val="000000"/>
          <w:kern w:val="0"/>
          <w:sz w:val="32"/>
          <w:szCs w:val="32"/>
        </w:rPr>
        <w:t>第一章</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磋商邀请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w:t>
      </w:r>
      <w:r>
        <w:rPr>
          <w:rFonts w:hint="eastAsia" w:ascii="宋体" w:hAnsi="宋体" w:eastAsia="宋体" w:cs="宋体"/>
          <w:sz w:val="28"/>
          <w:szCs w:val="28"/>
          <w:lang w:val="en-US" w:eastAsia="zh-CN"/>
        </w:rPr>
        <w:t>世行优惠紧急贷款三台人民医院灾后恢复重建项目竣工测绘和总建筑面积实测</w:t>
      </w:r>
      <w:r>
        <w:rPr>
          <w:rFonts w:hint="eastAsia" w:ascii="宋体" w:hAnsi="宋体" w:eastAsia="宋体" w:cs="宋体"/>
          <w:sz w:val="28"/>
          <w:szCs w:val="28"/>
        </w:rPr>
        <w:t>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eastAsia="宋体" w:cs="宋体"/>
          <w:sz w:val="28"/>
          <w:szCs w:val="28"/>
          <w:lang w:val="en-US" w:eastAsia="zh-CN"/>
        </w:rPr>
        <w:t>世行优惠紧急贷款三台人民医院灾后恢复重建项目竣工测绘和总建筑面积实测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2.采购人：三台县人民医院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spacing w:line="520" w:lineRule="exact"/>
        <w:rPr>
          <w:rFonts w:hint="eastAsia" w:ascii="宋体" w:hAnsi="宋体" w:cs="宋体"/>
          <w:color w:val="000000"/>
          <w:sz w:val="28"/>
          <w:szCs w:val="28"/>
        </w:rPr>
      </w:pPr>
      <w:r>
        <w:rPr>
          <w:rFonts w:hint="eastAsia" w:ascii="宋体" w:hAnsi="宋体" w:cs="宋体"/>
          <w:color w:val="000000"/>
          <w:sz w:val="28"/>
          <w:szCs w:val="28"/>
        </w:rPr>
        <w:t>6.</w:t>
      </w:r>
      <w:r>
        <w:rPr>
          <w:rFonts w:hint="eastAsia" w:ascii="宋体" w:hAnsi="宋体" w:eastAsia="宋体" w:cs="宋体"/>
          <w:kern w:val="2"/>
          <w:sz w:val="28"/>
          <w:szCs w:val="28"/>
          <w:lang w:val="en-US" w:eastAsia="zh-CN" w:bidi="ar-SA"/>
        </w:rPr>
        <w:t>具有乙级及以上测绘资质证书</w:t>
      </w:r>
      <w:r>
        <w:rPr>
          <w:rFonts w:hint="eastAsia" w:ascii="宋体" w:hAnsi="宋体" w:cs="宋体"/>
          <w:color w:val="000000"/>
          <w:sz w:val="28"/>
          <w:szCs w:val="28"/>
        </w:rPr>
        <w:t>；</w:t>
      </w:r>
    </w:p>
    <w:p>
      <w:pPr>
        <w:spacing w:line="520" w:lineRule="exact"/>
        <w:rPr>
          <w:rFonts w:hint="eastAsia" w:ascii="宋体" w:hAnsi="宋体" w:eastAsia="宋体" w:cs="宋体"/>
          <w:sz w:val="28"/>
          <w:szCs w:val="28"/>
        </w:rPr>
      </w:pPr>
      <w:r>
        <w:rPr>
          <w:rFonts w:hint="eastAsia" w:ascii="宋体" w:hAnsi="宋体" w:cs="宋体"/>
          <w:sz w:val="28"/>
          <w:szCs w:val="28"/>
          <w:lang w:val="en-US" w:eastAsia="zh-CN"/>
        </w:rPr>
        <w:t>7</w:t>
      </w:r>
      <w:r>
        <w:rPr>
          <w:rFonts w:hint="eastAsia" w:ascii="宋体" w:hAnsi="宋体" w:eastAsia="宋体" w:cs="宋体"/>
          <w:sz w:val="28"/>
          <w:szCs w:val="28"/>
        </w:rPr>
        <w:t>.本次竞争性磋商不接受联合体参与；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.供应商及其现任法定代表人、主要负责人无行贿犯罪记录。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rPr>
        <w:t>三、报名要求：</w:t>
      </w:r>
      <w:r>
        <w:rPr>
          <w:rFonts w:hint="eastAsia" w:ascii="宋体" w:hAnsi="宋体" w:eastAsia="宋体" w:cs="宋体"/>
          <w:sz w:val="28"/>
          <w:szCs w:val="28"/>
        </w:rPr>
        <w:t>请潜在供应商致电三台县人民医院采购办报名，报名电话：0816-5222252，联系人：云老师、邹老师；报名时间：2023年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27</w:t>
      </w:r>
      <w:r>
        <w:rPr>
          <w:rFonts w:hint="eastAsia" w:ascii="宋体" w:hAnsi="宋体" w:eastAsia="宋体" w:cs="宋体"/>
          <w:sz w:val="28"/>
          <w:szCs w:val="28"/>
        </w:rPr>
        <w:t>日至2023年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rPr>
        <w:t>日8:00～12:00、14:30～18:00（北京时间，法定节假日除外）。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递交响应文件截止时间：</w:t>
      </w:r>
      <w:r>
        <w:rPr>
          <w:rFonts w:hint="eastAsia" w:ascii="宋体" w:hAnsi="宋体" w:eastAsia="宋体" w:cs="宋体"/>
          <w:sz w:val="28"/>
          <w:szCs w:val="28"/>
        </w:rPr>
        <w:t>2023年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磋商地点：</w:t>
      </w:r>
      <w:r>
        <w:rPr>
          <w:rFonts w:hint="eastAsia" w:ascii="宋体" w:hAnsi="宋体" w:eastAsia="宋体" w:cs="宋体"/>
          <w:sz w:val="28"/>
          <w:szCs w:val="28"/>
        </w:rPr>
        <w:t>三台县人民医院行政楼</w:t>
      </w:r>
      <w:r>
        <w:rPr>
          <w:rFonts w:hint="eastAsia" w:ascii="宋体" w:hAnsi="宋体" w:eastAsia="宋体" w:cs="宋体"/>
          <w:sz w:val="28"/>
          <w:szCs w:val="28"/>
          <w:lang w:eastAsia="zh-CN"/>
        </w:rPr>
        <w:t>二</w:t>
      </w:r>
      <w:r>
        <w:rPr>
          <w:rFonts w:hint="eastAsia" w:ascii="宋体" w:hAnsi="宋体" w:eastAsia="宋体" w:cs="宋体"/>
          <w:sz w:val="28"/>
          <w:szCs w:val="28"/>
        </w:rPr>
        <w:t>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磋商时间：</w:t>
      </w:r>
      <w:r>
        <w:rPr>
          <w:rFonts w:hint="eastAsia" w:ascii="宋体" w:hAnsi="宋体" w:eastAsia="宋体" w:cs="宋体"/>
          <w:sz w:val="28"/>
          <w:szCs w:val="28"/>
        </w:rPr>
        <w:t>2023年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日15：00。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本磋商邀请在三台县人民医院官网上以公告形式发布。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采购人：</w:t>
      </w: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九、项目联系人：</w:t>
      </w:r>
      <w:r>
        <w:rPr>
          <w:rFonts w:hint="eastAsia" w:ascii="宋体" w:hAnsi="宋体" w:eastAsia="宋体" w:cs="宋体"/>
          <w:sz w:val="28"/>
          <w:szCs w:val="28"/>
        </w:rPr>
        <w:t>贾老师 15281675867。</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2023年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26</w:t>
      </w:r>
      <w:r>
        <w:rPr>
          <w:rFonts w:hint="eastAsia" w:ascii="宋体" w:hAnsi="宋体" w:eastAsia="宋体" w:cs="宋体"/>
          <w:sz w:val="28"/>
          <w:szCs w:val="28"/>
        </w:rPr>
        <w:t>日</w:t>
      </w:r>
    </w:p>
    <w:p>
      <w:pPr>
        <w:jc w:val="cente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w:t>
      </w:r>
      <w:r>
        <w:rPr>
          <w:rFonts w:hint="eastAsia" w:ascii="宋体" w:hAnsi="宋体" w:eastAsia="宋体" w:cs="宋体"/>
          <w:sz w:val="28"/>
          <w:szCs w:val="28"/>
          <w:lang w:val="en-US" w:eastAsia="zh-CN"/>
        </w:rPr>
        <w:t>世行优惠紧急贷款三台人民医院灾后恢复重建项目竣工测绘和总建筑面积实测</w:t>
      </w:r>
      <w:r>
        <w:rPr>
          <w:rFonts w:hint="eastAsia" w:ascii="宋体" w:hAnsi="宋体" w:eastAsia="宋体" w:cs="宋体"/>
          <w:sz w:val="28"/>
          <w:szCs w:val="28"/>
        </w:rPr>
        <w:t>；采取院内竞争性磋商方式实施采购，特邀请符合本次采购要求的供应商参加本项目的竞争性磋商。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二、项目名称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世行优惠紧急贷款三台人民医院灾后恢复重建项目竣工测绘和总建筑面积实测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三、服务内容及期限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（一）服务内容：</w:t>
      </w:r>
      <w:r>
        <w:rPr>
          <w:rFonts w:hint="eastAsia" w:ascii="宋体" w:hAnsi="宋体" w:eastAsia="宋体" w:cs="宋体"/>
          <w:sz w:val="28"/>
          <w:szCs w:val="28"/>
          <w:lang w:val="en-US" w:eastAsia="zh-CN"/>
        </w:rPr>
        <w:t>世行优惠紧急贷款三台人民医院灾后恢复重建项目竣工测绘和总建筑面积实测</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（二）服务期限：</w:t>
      </w:r>
      <w:r>
        <w:rPr>
          <w:rFonts w:hint="eastAsia" w:ascii="宋体" w:hAnsi="宋体" w:cs="宋体"/>
          <w:sz w:val="28"/>
          <w:szCs w:val="28"/>
          <w:lang w:val="en-US" w:eastAsia="zh-CN"/>
        </w:rPr>
        <w:t>20</w:t>
      </w:r>
      <w:r>
        <w:rPr>
          <w:rFonts w:hint="eastAsia" w:cs="Times New Roman"/>
          <w:b w:val="0"/>
          <w:bCs w:val="0"/>
          <w:color w:val="000000"/>
          <w:sz w:val="28"/>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四、采购控制价、付款方式及其他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（一）控制价：</w:t>
      </w:r>
      <w:r>
        <w:rPr>
          <w:rFonts w:hint="eastAsia" w:ascii="宋体" w:hAnsi="宋体" w:cs="宋体"/>
          <w:color w:val="auto"/>
          <w:kern w:val="0"/>
          <w:sz w:val="28"/>
          <w:szCs w:val="28"/>
        </w:rPr>
        <w:t>本项目采购控制价</w:t>
      </w:r>
      <w:r>
        <w:rPr>
          <w:rFonts w:hint="eastAsia" w:ascii="宋体" w:hAnsi="宋体" w:cs="宋体"/>
          <w:color w:val="auto"/>
          <w:kern w:val="0"/>
          <w:sz w:val="28"/>
          <w:szCs w:val="28"/>
          <w:lang w:val="en-US" w:eastAsia="zh-CN"/>
        </w:rPr>
        <w:t>为</w:t>
      </w:r>
      <w:r>
        <w:rPr>
          <w:rFonts w:hint="eastAsia" w:ascii="宋体" w:hAnsi="宋体" w:cs="宋体"/>
          <w:color w:val="auto"/>
          <w:kern w:val="0"/>
          <w:sz w:val="28"/>
          <w:szCs w:val="28"/>
          <w:u w:val="none"/>
          <w:lang w:val="en-US" w:eastAsia="zh-CN"/>
        </w:rPr>
        <w:t>1.3</w:t>
      </w:r>
      <w:r>
        <w:rPr>
          <w:rFonts w:hint="eastAsia" w:ascii="宋体" w:hAnsi="宋体" w:cs="宋体"/>
          <w:color w:val="auto"/>
          <w:kern w:val="0"/>
          <w:sz w:val="28"/>
          <w:szCs w:val="28"/>
        </w:rPr>
        <w:t>万元，供应商的报价包含</w:t>
      </w:r>
      <w:bookmarkStart w:id="0" w:name="_Hlk89248287"/>
      <w:r>
        <w:rPr>
          <w:rFonts w:hint="eastAsia" w:ascii="宋体" w:hAnsi="宋体" w:cs="宋体"/>
          <w:color w:val="auto"/>
          <w:kern w:val="0"/>
          <w:sz w:val="28"/>
          <w:szCs w:val="28"/>
          <w:lang w:eastAsia="zh-CN"/>
        </w:rPr>
        <w:t>：</w:t>
      </w:r>
      <w:r>
        <w:rPr>
          <w:rFonts w:hint="eastAsia" w:ascii="宋体" w:hAnsi="宋体"/>
          <w:bCs/>
          <w:color w:val="auto"/>
          <w:sz w:val="28"/>
          <w:szCs w:val="28"/>
        </w:rPr>
        <w:t>成本、利润、风险费、税金等。</w:t>
      </w:r>
      <w:bookmarkEnd w:id="0"/>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（二）付款方式：</w:t>
      </w:r>
      <w:r>
        <w:rPr>
          <w:rFonts w:hint="eastAsia" w:ascii="宋体" w:hAnsi="宋体"/>
          <w:bCs/>
          <w:color w:val="auto"/>
          <w:sz w:val="28"/>
          <w:szCs w:val="28"/>
          <w:lang w:val="en-US" w:eastAsia="zh-CN"/>
        </w:rPr>
        <w:t>完成</w:t>
      </w:r>
      <w:r>
        <w:rPr>
          <w:rFonts w:hint="eastAsia" w:ascii="宋体" w:hAnsi="宋体" w:eastAsia="宋体" w:cs="宋体"/>
          <w:sz w:val="28"/>
          <w:szCs w:val="28"/>
          <w:lang w:val="en-US" w:eastAsia="zh-CN"/>
        </w:rPr>
        <w:t>竣工测绘和总建筑面积实测</w:t>
      </w:r>
      <w:r>
        <w:rPr>
          <w:rFonts w:hint="eastAsia" w:ascii="宋体" w:hAnsi="宋体" w:cs="宋体"/>
          <w:sz w:val="28"/>
          <w:szCs w:val="28"/>
          <w:lang w:val="en-US" w:eastAsia="zh-CN"/>
        </w:rPr>
        <w:t>并出具测绘报告</w:t>
      </w:r>
      <w:r>
        <w:rPr>
          <w:rFonts w:hint="eastAsia" w:ascii="宋体" w:hAnsi="宋体"/>
          <w:bCs/>
          <w:color w:val="auto"/>
          <w:sz w:val="28"/>
          <w:szCs w:val="28"/>
          <w:lang w:val="en-US" w:eastAsia="zh-CN"/>
        </w:rPr>
        <w:t>后一次性付款</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五、磋商时间、申请文件的密封、及递交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开标时间</w:t>
      </w:r>
      <w:r>
        <w:rPr>
          <w:rFonts w:hint="eastAsia" w:ascii="宋体" w:hAnsi="宋体" w:cs="宋体"/>
          <w:sz w:val="28"/>
          <w:szCs w:val="28"/>
          <w:lang w:eastAsia="zh-CN"/>
        </w:rPr>
        <w:t>：</w:t>
      </w:r>
      <w:r>
        <w:rPr>
          <w:rFonts w:hint="eastAsia" w:ascii="宋体" w:hAnsi="宋体" w:eastAsia="宋体" w:cs="宋体"/>
          <w:sz w:val="28"/>
          <w:szCs w:val="28"/>
        </w:rPr>
        <w:t>2023年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日15：00。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开标地点：三台县人民医院行政楼二楼会议室。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申请文件份数：叁份（一正二副）。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密封：正副本密封到一个密封袋内，封口处加盖供应商公章。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逾期送达的或者未送达指定地点的，招标人不予受理。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六、竞争性磋商申请人（简称供应商）须具备的条件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pStyle w:val="2"/>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6.具有乙级及以上测绘资质证书；</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7.本次竞争性磋商不接受联合体参与；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.供应商及其现任法定代表人、主要负责人无行贿犯罪记录</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七、竞争性磋商申请文件需具有的资料(仅有但不限于)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1.法定代表人身份证明或法定代表人授权委托书；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2.企业法人营业执照（副本复印件，加盖公章）；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3.商业信誉承诺书；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4.供应商具有健全的财务会计制度承诺函；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5.具有履行合同所必须的设备和专业技术能力的承诺书；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6.参加本次采购活动前三年内，在经营活动中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重大违法记录的承诺函；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7.具有依法缴纳税收和社会保障资金良好记录的承诺书；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8.供应商及其现任法定代表人、主要负责人无行贿犯罪记录的书面声明；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9.报价函；</w:t>
      </w:r>
    </w:p>
    <w:p>
      <w:pPr>
        <w:pStyle w:val="2"/>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10.具有乙级及以上测绘资质证书。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八、评标标准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磋商小组由采购人或委托具有相应专业的评审专家3人组成</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首先是资格审查，是针对供应商的类似经验等采用的强制性标准法。只有完全满足资格审查各项强制性标准的供应商才能进入下一个阶段的评审。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九、中标通知书的发放与合同签订</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评标结果确定后，采购人在指定网站进行公示，公示结束后，采购人与排名第一的成交供应商签订采购合同。</w:t>
      </w:r>
    </w:p>
    <w:p>
      <w:pPr>
        <w:rPr>
          <w:rFonts w:hint="eastAsia" w:ascii="宋体" w:hAnsi="宋体"/>
          <w:b/>
          <w:color w:val="000000"/>
          <w:sz w:val="24"/>
        </w:rPr>
      </w:pPr>
      <w:r>
        <w:rPr>
          <w:rFonts w:hint="eastAsia" w:ascii="宋体" w:hAnsi="宋体"/>
          <w:b/>
          <w:color w:val="000000"/>
          <w:sz w:val="24"/>
        </w:rPr>
        <w:br w:type="page"/>
      </w:r>
    </w:p>
    <w:p>
      <w:pPr>
        <w:spacing w:line="360" w:lineRule="auto"/>
        <w:rPr>
          <w:rFonts w:ascii="宋体" w:hAnsi="宋体"/>
          <w:b/>
          <w:color w:val="000000"/>
          <w:sz w:val="24"/>
        </w:rPr>
      </w:pPr>
      <w:r>
        <w:rPr>
          <w:rFonts w:hint="eastAsia" w:ascii="宋体" w:hAnsi="宋体"/>
          <w:b/>
          <w:color w:val="000000"/>
          <w:sz w:val="24"/>
        </w:rPr>
        <w:t>附件1：磋商文件格式</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4"/>
        <w:spacing w:before="0" w:after="0" w:line="360" w:lineRule="auto"/>
        <w:jc w:val="both"/>
        <w:rPr>
          <w:rFonts w:ascii="宋体" w:hAnsi="宋体" w:cs="宋体"/>
          <w:b w:val="0"/>
          <w:color w:val="000000"/>
          <w:sz w:val="44"/>
          <w:szCs w:val="44"/>
        </w:rPr>
      </w:pPr>
      <w:r>
        <w:rPr>
          <w:rFonts w:hint="eastAsia" w:ascii="宋体" w:hAnsi="宋体" w:cs="宋体"/>
          <w:b w:val="0"/>
          <w:color w:val="000000"/>
          <w:sz w:val="44"/>
          <w:szCs w:val="44"/>
        </w:rPr>
        <w:t>封面格式：</w:t>
      </w:r>
    </w:p>
    <w:p>
      <w:pPr>
        <w:rPr>
          <w:rFonts w:ascii="宋体" w:hAnsi="宋体"/>
          <w:color w:val="000000"/>
        </w:rPr>
      </w:pPr>
    </w:p>
    <w:p>
      <w:pPr>
        <w:pStyle w:val="5"/>
        <w:jc w:val="right"/>
        <w:rPr>
          <w:rFonts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jc w:val="center"/>
        <w:rPr>
          <w:rFonts w:ascii="宋体" w:hAnsi="宋体" w:cs="宋体"/>
          <w:b/>
          <w:bCs/>
          <w:color w:val="000000"/>
          <w:sz w:val="48"/>
        </w:rPr>
      </w:pPr>
      <w:r>
        <w:rPr>
          <w:rFonts w:hint="eastAsia" w:ascii="宋体" w:hAnsi="宋体" w:cs="宋体"/>
          <w:b/>
          <w:bCs/>
          <w:color w:val="000000"/>
          <w:sz w:val="48"/>
        </w:rPr>
        <w:t>响应文件</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rPr>
          <w:rFonts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ascii="宋体" w:hAnsi="宋体" w:cs="宋体"/>
          <w:b/>
          <w:bCs/>
          <w:color w:val="000000"/>
          <w:sz w:val="48"/>
        </w:rPr>
      </w:pPr>
    </w:p>
    <w:p>
      <w:pPr>
        <w:spacing w:line="360" w:lineRule="auto"/>
        <w:rPr>
          <w:rFonts w:ascii="宋体" w:hAnsi="宋体" w:cs="宋体"/>
          <w:color w:val="000000"/>
          <w:sz w:val="48"/>
        </w:rPr>
      </w:pPr>
    </w:p>
    <w:p>
      <w:pPr>
        <w:spacing w:line="360" w:lineRule="auto"/>
        <w:rPr>
          <w:rFonts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w:t>
      </w:r>
      <w:r>
        <w:rPr>
          <w:rFonts w:hint="eastAsia" w:ascii="宋体" w:hAnsi="宋体" w:cs="宋体"/>
          <w:b/>
          <w:bCs/>
          <w:color w:val="000000"/>
          <w:sz w:val="48"/>
          <w:lang w:val="en-US" w:eastAsia="zh-CN"/>
        </w:rPr>
        <w:t xml:space="preserve">    </w:t>
      </w:r>
      <w:r>
        <w:rPr>
          <w:rFonts w:hint="eastAsia" w:ascii="宋体" w:hAnsi="宋体" w:cs="宋体"/>
          <w:b/>
          <w:bCs/>
          <w:color w:val="000000"/>
          <w:sz w:val="48"/>
        </w:rPr>
        <w:t>年  月  日</w:t>
      </w: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pStyle w:val="7"/>
        <w:spacing w:line="500" w:lineRule="exact"/>
        <w:ind w:left="0" w:leftChars="0"/>
        <w:jc w:val="both"/>
        <w:rPr>
          <w:rFonts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pStyle w:val="7"/>
        <w:spacing w:line="500" w:lineRule="exact"/>
        <w:ind w:left="0" w:leftChars="0"/>
        <w:jc w:val="center"/>
        <w:rPr>
          <w:rFonts w:hint="eastAsia" w:ascii="宋体" w:hAnsi="宋体"/>
          <w:b/>
          <w:color w:val="000000"/>
          <w:sz w:val="32"/>
          <w:szCs w:val="32"/>
        </w:rPr>
      </w:pP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cs="Times New Roman"/>
          <w:bCs/>
          <w:color w:val="000000"/>
          <w:sz w:val="28"/>
          <w:szCs w:val="28"/>
        </w:rPr>
      </w:pPr>
      <w:r>
        <w:rPr>
          <w:rFonts w:hint="eastAsia"/>
          <w:color w:val="000000"/>
          <w:sz w:val="28"/>
          <w:szCs w:val="28"/>
        </w:rPr>
        <w:t>1</w:t>
      </w:r>
      <w:r>
        <w:rPr>
          <w:rFonts w:hint="eastAsia"/>
          <w:color w:val="000000"/>
          <w:sz w:val="28"/>
          <w:szCs w:val="28"/>
          <w:lang w:val="en-US" w:eastAsia="zh-CN"/>
        </w:rPr>
        <w:t>.</w:t>
      </w:r>
      <w:r>
        <w:rPr>
          <w:rFonts w:hint="eastAsia"/>
          <w:color w:val="000000"/>
          <w:sz w:val="28"/>
          <w:szCs w:val="28"/>
        </w:rPr>
        <w:t>我公司全面研究了</w:t>
      </w:r>
      <w:r>
        <w:rPr>
          <w:rFonts w:hint="eastAsia" w:ascii="宋体" w:hAnsi="宋体" w:eastAsia="宋体" w:cs="宋体"/>
          <w:sz w:val="28"/>
          <w:szCs w:val="28"/>
          <w:lang w:val="en-US" w:eastAsia="zh-CN"/>
        </w:rPr>
        <w:t>世行优惠紧急贷款三台人民医院灾后恢复重建项目竣工测绘和总建筑面积实测</w:t>
      </w:r>
      <w:r>
        <w:rPr>
          <w:rFonts w:hint="eastAsia"/>
          <w:color w:val="000000"/>
          <w:sz w:val="28"/>
          <w:szCs w:val="28"/>
        </w:rPr>
        <w:t>的院内竞争性磋商文件及相关资料，我们将遵照竞争性磋商文件的要求承担相应的全部工作。</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val="en-US" w:eastAsia="zh-CN"/>
        </w:rPr>
        <w:t>.</w:t>
      </w:r>
      <w:r>
        <w:rPr>
          <w:rFonts w:hint="eastAsia" w:ascii="宋体" w:hAnsi="宋体" w:cs="宋体"/>
          <w:color w:val="000000"/>
          <w:sz w:val="28"/>
          <w:szCs w:val="28"/>
        </w:rPr>
        <w:t>我们完全同意供应商选择中标单位的办法，并同意自行承担为竞争性磋商所发生的一切费用。</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val="en-US" w:eastAsia="zh-CN"/>
        </w:rPr>
        <w:t>.</w:t>
      </w:r>
      <w:r>
        <w:rPr>
          <w:rFonts w:hint="eastAsia" w:ascii="宋体" w:hAnsi="宋体" w:cs="宋体"/>
          <w:color w:val="000000"/>
          <w:sz w:val="28"/>
          <w:szCs w:val="28"/>
        </w:rPr>
        <w:t>我们严格遵守本投标报价函的各项承诺。投标报价函始终将对我方具有约束力，并随时接受中标。</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4</w:t>
      </w:r>
      <w:r>
        <w:rPr>
          <w:rFonts w:hint="eastAsia" w:ascii="宋体" w:hAnsi="宋体" w:cs="宋体"/>
          <w:color w:val="000000"/>
          <w:sz w:val="28"/>
          <w:szCs w:val="28"/>
          <w:lang w:val="en-US" w:eastAsia="zh-CN"/>
        </w:rPr>
        <w:t>.</w:t>
      </w:r>
      <w:r>
        <w:rPr>
          <w:rFonts w:hint="eastAsia" w:ascii="宋体" w:hAnsi="宋体" w:cs="宋体"/>
          <w:color w:val="000000"/>
          <w:sz w:val="28"/>
          <w:szCs w:val="28"/>
        </w:rPr>
        <w:t>在合同协议书正式签署生效之前，本投标报价函连同你单位的中标通知书将成我们双方之间共同遵守的条件，对双方具有约束力。</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5</w:t>
      </w:r>
      <w:bookmarkStart w:id="1" w:name="OLE_LINK2"/>
      <w:bookmarkStart w:id="2" w:name="OLE_LINK1"/>
      <w:r>
        <w:rPr>
          <w:rFonts w:hint="eastAsia" w:ascii="宋体" w:hAnsi="宋体" w:cs="宋体"/>
          <w:color w:val="000000"/>
          <w:sz w:val="28"/>
          <w:szCs w:val="28"/>
          <w:lang w:val="en-US" w:eastAsia="zh-CN"/>
        </w:rPr>
        <w:t>.</w:t>
      </w:r>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ascii="宋体" w:hAnsi="宋体"/>
          <w:color w:val="000000"/>
          <w:sz w:val="24"/>
        </w:rPr>
      </w:pPr>
    </w:p>
    <w:p>
      <w:pPr>
        <w:spacing w:line="480" w:lineRule="auto"/>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rPr>
          <w:rFonts w:ascii="宋体" w:hAnsi="宋体" w:cs="宋体"/>
          <w:color w:val="000000"/>
          <w:sz w:val="28"/>
          <w:szCs w:val="28"/>
        </w:rPr>
      </w:pPr>
      <w:r>
        <w:rPr>
          <w:rFonts w:hint="eastAsia" w:ascii="宋体" w:hAnsi="宋体" w:cs="宋体"/>
          <w:color w:val="000000"/>
          <w:sz w:val="28"/>
          <w:szCs w:val="28"/>
        </w:rPr>
        <w:t>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ascii="宋体" w:hAnsi="宋体"/>
          <w:b/>
          <w:color w:val="000000"/>
          <w:sz w:val="28"/>
          <w:szCs w:val="28"/>
        </w:rPr>
      </w:pPr>
    </w:p>
    <w:p>
      <w:pPr>
        <w:pStyle w:val="5"/>
        <w:rPr>
          <w:color w:val="000000"/>
        </w:rPr>
      </w:pPr>
    </w:p>
    <w:p>
      <w:pPr>
        <w:pStyle w:val="5"/>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color w:val="000000"/>
        </w:rPr>
      </w:pPr>
    </w:p>
    <w:p>
      <w:pPr>
        <w:rPr>
          <w:color w:val="000000"/>
        </w:rPr>
      </w:pPr>
    </w:p>
    <w:p>
      <w:pPr>
        <w:pStyle w:val="5"/>
        <w:rPr>
          <w:rFonts w:ascii="宋体" w:hAnsi="宋体"/>
          <w:color w:val="000000"/>
        </w:rPr>
      </w:pPr>
    </w:p>
    <w:p>
      <w:pPr>
        <w:rPr>
          <w:rFonts w:ascii="宋体" w:hAnsi="宋体"/>
          <w:color w:val="000000"/>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both"/>
        <w:rPr>
          <w:rFonts w:ascii="宋体" w:hAnsi="宋体"/>
          <w:b/>
          <w:color w:val="000000"/>
          <w:sz w:val="28"/>
          <w:szCs w:val="28"/>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rPr>
          <w:rFonts w:ascii="宋体" w:hAnsi="宋体"/>
          <w:b/>
          <w:color w:val="000000"/>
          <w:sz w:val="24"/>
        </w:rPr>
      </w:pPr>
      <w:r>
        <w:rPr>
          <w:rFonts w:hint="eastAsia" w:ascii="宋体" w:hAnsi="宋体"/>
          <w:b/>
          <w:color w:val="000000"/>
          <w:sz w:val="24"/>
        </w:rPr>
        <w:t xml:space="preserve">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5"/>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5"/>
        <w:rPr>
          <w:rFonts w:ascii="宋体" w:hAnsi="宋体"/>
          <w:b/>
          <w:color w:val="000000"/>
          <w:sz w:val="28"/>
          <w:szCs w:val="28"/>
        </w:rPr>
      </w:pPr>
    </w:p>
    <w:p>
      <w:pPr>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pStyle w:val="7"/>
        <w:spacing w:line="500" w:lineRule="exact"/>
        <w:ind w:left="0" w:leftChars="0"/>
        <w:jc w:val="center"/>
        <w:rPr>
          <w:rFonts w:hint="eastAsia"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7"/>
        <w:spacing w:line="500" w:lineRule="exact"/>
        <w:ind w:left="0" w:leftChars="0" w:firstLine="0" w:firstLineChars="0"/>
        <w:rPr>
          <w:rFonts w:ascii="宋体" w:hAnsi="宋体"/>
          <w:b/>
          <w:color w:val="000000"/>
          <w:sz w:val="32"/>
          <w:szCs w:val="32"/>
        </w:rPr>
      </w:pPr>
      <w:r>
        <w:rPr>
          <w:rFonts w:hint="eastAsia" w:ascii="宋体" w:hAnsi="宋体"/>
          <w:color w:val="000000"/>
          <w:sz w:val="28"/>
          <w:szCs w:val="28"/>
        </w:rPr>
        <w:t>日  期：      年     月   日</w:t>
      </w: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法定代表人身份证明</w:t>
      </w:r>
    </w:p>
    <w:p>
      <w:pPr>
        <w:pStyle w:val="7"/>
        <w:spacing w:line="500" w:lineRule="exact"/>
        <w:ind w:left="0" w:leftChars="0"/>
        <w:jc w:val="center"/>
        <w:rPr>
          <w:rFonts w:hint="eastAsia" w:ascii="宋体" w:hAnsi="宋体"/>
          <w:b/>
          <w:color w:val="000000"/>
          <w:sz w:val="32"/>
          <w:szCs w:val="32"/>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7"/>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pStyle w:val="5"/>
        <w:rPr>
          <w:rFonts w:ascii="宋体" w:hAnsi="宋体" w:cs="宋体"/>
          <w:bCs/>
          <w:color w:val="000000"/>
          <w:sz w:val="22"/>
        </w:rPr>
      </w:pPr>
    </w:p>
    <w:p>
      <w:pPr>
        <w:widowControl/>
        <w:spacing w:line="330" w:lineRule="atLeast"/>
        <w:jc w:val="left"/>
        <w:rPr>
          <w:rFonts w:ascii="宋体" w:hAnsi="宋体" w:cs="宋体"/>
          <w:bCs/>
          <w:color w:val="000000"/>
          <w:kern w:val="0"/>
          <w:sz w:val="22"/>
        </w:rPr>
      </w:pPr>
    </w:p>
    <w:p>
      <w:pPr>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br w:type="page"/>
      </w:r>
    </w:p>
    <w:p>
      <w:pPr>
        <w:rPr>
          <w:rFonts w:ascii="宋体" w:hAnsi="宋体" w:cs="宋体"/>
          <w:b/>
          <w:color w:val="000000"/>
          <w:kern w:val="0"/>
          <w:sz w:val="28"/>
          <w:szCs w:val="28"/>
        </w:rPr>
      </w:pPr>
      <w:r>
        <w:rPr>
          <w:rFonts w:hint="eastAsia" w:ascii="宋体" w:hAnsi="宋体" w:cs="宋体"/>
          <w:b/>
          <w:color w:val="000000"/>
          <w:kern w:val="0"/>
          <w:sz w:val="28"/>
          <w:szCs w:val="28"/>
        </w:rPr>
        <w:t>附件2：竞争性磋商评分表</w:t>
      </w:r>
    </w:p>
    <w:bookmarkEnd w:id="3"/>
    <w:tbl>
      <w:tblPr>
        <w:tblStyle w:val="10"/>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393"/>
        <w:gridCol w:w="744"/>
        <w:gridCol w:w="5575"/>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5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b/>
                <w:bCs/>
                <w:color w:val="000000"/>
                <w:sz w:val="24"/>
              </w:rPr>
              <w:t>序号</w:t>
            </w:r>
          </w:p>
        </w:tc>
        <w:tc>
          <w:tcPr>
            <w:tcW w:w="1393"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b/>
                <w:bCs/>
                <w:color w:val="000000"/>
                <w:sz w:val="24"/>
              </w:rPr>
              <w:t>评分因素及权重</w:t>
            </w:r>
          </w:p>
        </w:tc>
        <w:tc>
          <w:tcPr>
            <w:tcW w:w="744" w:type="dxa"/>
            <w:noWrap w:val="0"/>
            <w:vAlign w:val="center"/>
          </w:tcPr>
          <w:p>
            <w:pPr>
              <w:autoSpaceDE w:val="0"/>
              <w:autoSpaceDN w:val="0"/>
              <w:adjustRightInd w:val="0"/>
              <w:jc w:val="both"/>
              <w:rPr>
                <w:rFonts w:hint="eastAsia" w:ascii="宋体" w:hAnsi="宋体"/>
                <w:b/>
                <w:bCs/>
                <w:color w:val="000000"/>
                <w:sz w:val="24"/>
              </w:rPr>
            </w:pPr>
            <w:r>
              <w:rPr>
                <w:rFonts w:hint="eastAsia" w:ascii="宋体" w:hAnsi="宋体"/>
                <w:b/>
                <w:bCs/>
                <w:color w:val="000000"/>
                <w:sz w:val="24"/>
              </w:rPr>
              <w:t>分值</w:t>
            </w:r>
          </w:p>
        </w:tc>
        <w:tc>
          <w:tcPr>
            <w:tcW w:w="557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b/>
                <w:bCs/>
                <w:color w:val="000000"/>
                <w:sz w:val="24"/>
              </w:rPr>
              <w:t>评分标准</w:t>
            </w:r>
          </w:p>
        </w:tc>
        <w:tc>
          <w:tcPr>
            <w:tcW w:w="1621"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b/>
                <w:bCs/>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555" w:type="dxa"/>
            <w:noWrap w:val="0"/>
            <w:vAlign w:val="center"/>
          </w:tcPr>
          <w:p>
            <w:pPr>
              <w:wordWrap w:val="0"/>
              <w:spacing w:line="0" w:lineRule="atLeast"/>
              <w:jc w:val="center"/>
              <w:rPr>
                <w:rFonts w:hint="eastAsia" w:ascii="宋体" w:hAnsi="宋体" w:cs="宋体"/>
                <w:color w:val="000000"/>
                <w:szCs w:val="21"/>
              </w:rPr>
            </w:pPr>
            <w:r>
              <w:rPr>
                <w:rFonts w:hint="eastAsia" w:ascii="宋体" w:hAnsi="宋体"/>
                <w:bCs/>
                <w:color w:val="000000"/>
                <w:szCs w:val="21"/>
              </w:rPr>
              <w:t>1</w:t>
            </w:r>
          </w:p>
        </w:tc>
        <w:tc>
          <w:tcPr>
            <w:tcW w:w="1393" w:type="dxa"/>
            <w:noWrap w:val="0"/>
            <w:vAlign w:val="center"/>
          </w:tcPr>
          <w:p>
            <w:pPr>
              <w:wordWrap w:val="0"/>
              <w:spacing w:line="0" w:lineRule="atLeast"/>
              <w:ind w:firstLine="210" w:firstLineChars="100"/>
              <w:jc w:val="center"/>
              <w:rPr>
                <w:rFonts w:hint="eastAsia" w:ascii="宋体" w:hAnsi="宋体" w:cs="宋体"/>
                <w:color w:val="000000"/>
                <w:szCs w:val="21"/>
              </w:rPr>
            </w:pPr>
            <w:r>
              <w:rPr>
                <w:rFonts w:hint="eastAsia" w:ascii="宋体" w:hAnsi="宋体"/>
                <w:bCs/>
                <w:color w:val="000000"/>
                <w:szCs w:val="21"/>
              </w:rPr>
              <w:t>报价</w:t>
            </w:r>
          </w:p>
        </w:tc>
        <w:tc>
          <w:tcPr>
            <w:tcW w:w="744" w:type="dxa"/>
            <w:noWrap w:val="0"/>
            <w:vAlign w:val="center"/>
          </w:tcPr>
          <w:p>
            <w:pPr>
              <w:wordWrap w:val="0"/>
              <w:spacing w:line="0" w:lineRule="atLeast"/>
              <w:jc w:val="left"/>
              <w:rPr>
                <w:rFonts w:ascii="宋体" w:hAnsi="宋体" w:cs="宋体"/>
                <w:color w:val="000000"/>
                <w:szCs w:val="21"/>
              </w:rPr>
            </w:pPr>
            <w:r>
              <w:rPr>
                <w:rFonts w:ascii="宋体" w:hAnsi="宋体"/>
                <w:bCs/>
                <w:color w:val="000000"/>
                <w:szCs w:val="21"/>
              </w:rPr>
              <w:t>30</w:t>
            </w:r>
            <w:r>
              <w:rPr>
                <w:rFonts w:hint="eastAsia" w:ascii="宋体" w:hAnsi="宋体"/>
                <w:bCs/>
                <w:color w:val="000000"/>
                <w:szCs w:val="21"/>
              </w:rPr>
              <w:t>分</w:t>
            </w:r>
          </w:p>
        </w:tc>
        <w:tc>
          <w:tcPr>
            <w:tcW w:w="5575" w:type="dxa"/>
            <w:noWrap w:val="0"/>
            <w:vAlign w:val="center"/>
          </w:tcPr>
          <w:p>
            <w:pPr>
              <w:wordWrap w:val="0"/>
              <w:spacing w:line="0" w:lineRule="atLeast"/>
              <w:jc w:val="left"/>
              <w:rPr>
                <w:rFonts w:hint="eastAsia" w:ascii="宋体" w:hAnsi="宋体" w:eastAsia="宋体" w:cs="宋体"/>
                <w:color w:val="000000"/>
                <w:szCs w:val="21"/>
                <w:lang w:eastAsia="zh-CN"/>
              </w:rPr>
            </w:pPr>
            <w:r>
              <w:rPr>
                <w:rFonts w:hint="eastAsia" w:ascii="宋体" w:hAnsi="宋体" w:cs="宋体"/>
                <w:color w:val="000000"/>
                <w:szCs w:val="21"/>
              </w:rPr>
              <w:t>经评审合格的供应商报价，报价的平均值为基准价，报价低于基准价得满分，报价每比基准值高1%，扣1分。上下比例不足1%按1%计算</w:t>
            </w:r>
            <w:r>
              <w:rPr>
                <w:rFonts w:hint="eastAsia" w:ascii="宋体" w:hAnsi="宋体" w:cs="宋体"/>
                <w:color w:val="000000"/>
                <w:szCs w:val="21"/>
                <w:lang w:eastAsia="zh-CN"/>
              </w:rPr>
              <w:t>。</w:t>
            </w:r>
          </w:p>
        </w:tc>
        <w:tc>
          <w:tcPr>
            <w:tcW w:w="1621" w:type="dxa"/>
            <w:noWrap w:val="0"/>
            <w:vAlign w:val="top"/>
          </w:tcPr>
          <w:p>
            <w:pPr>
              <w:autoSpaceDE w:val="0"/>
              <w:autoSpaceDN w:val="0"/>
              <w:adjustRightInd w:val="0"/>
              <w:jc w:val="left"/>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55" w:type="dxa"/>
            <w:noWrap w:val="0"/>
            <w:vAlign w:val="center"/>
          </w:tcPr>
          <w:p>
            <w:pPr>
              <w:autoSpaceDE w:val="0"/>
              <w:autoSpaceDN w:val="0"/>
              <w:adjustRightInd w:val="0"/>
              <w:jc w:val="center"/>
              <w:rPr>
                <w:rFonts w:hint="eastAsia" w:ascii="宋体" w:hAnsi="宋体"/>
                <w:color w:val="000000"/>
                <w:szCs w:val="21"/>
              </w:rPr>
            </w:pPr>
            <w:r>
              <w:rPr>
                <w:rFonts w:hint="eastAsia" w:ascii="宋体" w:hAnsi="宋体"/>
                <w:color w:val="000000"/>
                <w:szCs w:val="21"/>
              </w:rPr>
              <w:t>2</w:t>
            </w:r>
          </w:p>
        </w:tc>
        <w:tc>
          <w:tcPr>
            <w:tcW w:w="1393" w:type="dxa"/>
            <w:noWrap w:val="0"/>
            <w:vAlign w:val="center"/>
          </w:tcPr>
          <w:p>
            <w:pPr>
              <w:wordWrap w:val="0"/>
              <w:spacing w:line="0" w:lineRule="atLeast"/>
              <w:jc w:val="center"/>
              <w:rPr>
                <w:rFonts w:ascii="宋体" w:hAnsi="宋体"/>
                <w:bCs/>
                <w:color w:val="000000"/>
                <w:szCs w:val="21"/>
              </w:rPr>
            </w:pPr>
            <w:r>
              <w:rPr>
                <w:rFonts w:hint="eastAsia" w:ascii="宋体" w:hAnsi="宋体"/>
                <w:bCs/>
                <w:color w:val="000000"/>
                <w:szCs w:val="21"/>
              </w:rPr>
              <w:t>供应商资质</w:t>
            </w:r>
          </w:p>
        </w:tc>
        <w:tc>
          <w:tcPr>
            <w:tcW w:w="744" w:type="dxa"/>
            <w:noWrap w:val="0"/>
            <w:vAlign w:val="center"/>
          </w:tcPr>
          <w:p>
            <w:pPr>
              <w:autoSpaceDE w:val="0"/>
              <w:autoSpaceDN w:val="0"/>
              <w:adjustRightInd w:val="0"/>
              <w:jc w:val="center"/>
              <w:rPr>
                <w:rFonts w:ascii="宋体" w:hAnsi="宋体"/>
                <w:color w:val="000000"/>
                <w:szCs w:val="21"/>
              </w:rPr>
            </w:pPr>
            <w:r>
              <w:rPr>
                <w:rFonts w:ascii="宋体" w:hAnsi="宋体"/>
                <w:color w:val="000000"/>
                <w:szCs w:val="21"/>
              </w:rPr>
              <w:t>5</w:t>
            </w:r>
            <w:r>
              <w:rPr>
                <w:rFonts w:hint="eastAsia" w:ascii="宋体" w:hAnsi="宋体"/>
                <w:color w:val="000000"/>
                <w:szCs w:val="21"/>
              </w:rPr>
              <w:t>分</w:t>
            </w:r>
          </w:p>
        </w:tc>
        <w:tc>
          <w:tcPr>
            <w:tcW w:w="5575" w:type="dxa"/>
            <w:noWrap w:val="0"/>
            <w:vAlign w:val="top"/>
          </w:tcPr>
          <w:p>
            <w:pPr>
              <w:autoSpaceDE w:val="0"/>
              <w:autoSpaceDN w:val="0"/>
              <w:adjustRightInd w:val="0"/>
              <w:jc w:val="both"/>
              <w:rPr>
                <w:rFonts w:hint="eastAsia" w:ascii="宋体" w:hAnsi="宋体"/>
                <w:color w:val="000000"/>
                <w:szCs w:val="21"/>
              </w:rPr>
            </w:pPr>
            <w:r>
              <w:rPr>
                <w:rFonts w:hint="eastAsia"/>
                <w:color w:val="000000"/>
                <w:szCs w:val="21"/>
              </w:rPr>
              <w:t>1.供应商具有乙级及以上测绘资质证书，得</w:t>
            </w:r>
            <w:r>
              <w:rPr>
                <w:color w:val="000000"/>
                <w:szCs w:val="21"/>
              </w:rPr>
              <w:t>5</w:t>
            </w:r>
            <w:r>
              <w:rPr>
                <w:rFonts w:hint="eastAsia"/>
                <w:color w:val="000000"/>
                <w:szCs w:val="21"/>
              </w:rPr>
              <w:t>分。</w:t>
            </w:r>
          </w:p>
        </w:tc>
        <w:tc>
          <w:tcPr>
            <w:tcW w:w="1621" w:type="dxa"/>
            <w:noWrap w:val="0"/>
            <w:vAlign w:val="top"/>
          </w:tcPr>
          <w:p>
            <w:pPr>
              <w:autoSpaceDE w:val="0"/>
              <w:autoSpaceDN w:val="0"/>
              <w:adjustRightInd w:val="0"/>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0"/>
            <w:vAlign w:val="center"/>
          </w:tcPr>
          <w:p>
            <w:pPr>
              <w:autoSpaceDE w:val="0"/>
              <w:autoSpaceDN w:val="0"/>
              <w:adjustRightInd w:val="0"/>
              <w:jc w:val="center"/>
              <w:rPr>
                <w:rFonts w:hint="eastAsia" w:ascii="宋体" w:hAnsi="宋体"/>
                <w:color w:val="000000"/>
                <w:szCs w:val="21"/>
              </w:rPr>
            </w:pPr>
            <w:r>
              <w:rPr>
                <w:rFonts w:hint="eastAsia" w:ascii="宋体" w:hAnsi="宋体"/>
                <w:color w:val="000000"/>
                <w:szCs w:val="21"/>
              </w:rPr>
              <w:t>3</w:t>
            </w:r>
          </w:p>
        </w:tc>
        <w:tc>
          <w:tcPr>
            <w:tcW w:w="1393" w:type="dxa"/>
            <w:noWrap w:val="0"/>
            <w:vAlign w:val="center"/>
          </w:tcPr>
          <w:p>
            <w:pPr>
              <w:wordWrap w:val="0"/>
              <w:spacing w:line="0" w:lineRule="atLeast"/>
              <w:jc w:val="center"/>
              <w:rPr>
                <w:rFonts w:ascii="宋体" w:hAnsi="宋体"/>
                <w:bCs/>
                <w:color w:val="000000"/>
                <w:szCs w:val="21"/>
              </w:rPr>
            </w:pPr>
            <w:r>
              <w:rPr>
                <w:rFonts w:hint="eastAsia" w:ascii="宋体" w:hAnsi="宋体"/>
                <w:bCs/>
                <w:color w:val="000000"/>
                <w:szCs w:val="21"/>
              </w:rPr>
              <w:t>供应商拟安排本项目人员</w:t>
            </w:r>
          </w:p>
        </w:tc>
        <w:tc>
          <w:tcPr>
            <w:tcW w:w="744" w:type="dxa"/>
            <w:noWrap w:val="0"/>
            <w:vAlign w:val="center"/>
          </w:tcPr>
          <w:p>
            <w:pPr>
              <w:autoSpaceDE w:val="0"/>
              <w:autoSpaceDN w:val="0"/>
              <w:adjustRightInd w:val="0"/>
              <w:jc w:val="center"/>
              <w:rPr>
                <w:rFonts w:ascii="宋体" w:hAnsi="宋体"/>
                <w:color w:val="000000"/>
                <w:szCs w:val="21"/>
              </w:rPr>
            </w:pPr>
            <w:r>
              <w:rPr>
                <w:rFonts w:ascii="宋体" w:hAnsi="宋体"/>
                <w:color w:val="000000"/>
                <w:szCs w:val="21"/>
              </w:rPr>
              <w:t>17</w:t>
            </w:r>
            <w:r>
              <w:rPr>
                <w:rFonts w:hint="eastAsia" w:ascii="宋体" w:hAnsi="宋体"/>
                <w:color w:val="000000"/>
                <w:szCs w:val="21"/>
              </w:rPr>
              <w:t>分</w:t>
            </w:r>
          </w:p>
        </w:tc>
        <w:tc>
          <w:tcPr>
            <w:tcW w:w="5575" w:type="dxa"/>
            <w:noWrap w:val="0"/>
            <w:vAlign w:val="top"/>
          </w:tcPr>
          <w:p>
            <w:pPr>
              <w:spacing w:line="440" w:lineRule="exact"/>
              <w:rPr>
                <w:color w:val="000000"/>
                <w:szCs w:val="21"/>
              </w:rPr>
            </w:pPr>
            <w:r>
              <w:rPr>
                <w:rFonts w:hint="eastAsia"/>
                <w:color w:val="000000"/>
                <w:szCs w:val="21"/>
              </w:rPr>
              <w:t>1</w:t>
            </w:r>
            <w:r>
              <w:rPr>
                <w:color w:val="000000"/>
                <w:szCs w:val="21"/>
              </w:rPr>
              <w:t>.</w:t>
            </w:r>
            <w:r>
              <w:rPr>
                <w:rFonts w:hint="eastAsia"/>
                <w:color w:val="000000"/>
                <w:szCs w:val="21"/>
              </w:rPr>
              <w:t>技术负责人具备测绘专业高级（含）以上技术职称得</w:t>
            </w:r>
            <w:r>
              <w:rPr>
                <w:color w:val="000000"/>
                <w:szCs w:val="21"/>
              </w:rPr>
              <w:t>5</w:t>
            </w:r>
            <w:r>
              <w:rPr>
                <w:rFonts w:hint="eastAsia"/>
                <w:color w:val="000000"/>
                <w:szCs w:val="21"/>
              </w:rPr>
              <w:t>分；</w:t>
            </w:r>
          </w:p>
          <w:p>
            <w:pPr>
              <w:pStyle w:val="2"/>
              <w:rPr>
                <w:rFonts w:hint="eastAsia"/>
                <w:szCs w:val="21"/>
              </w:rPr>
            </w:pPr>
            <w:r>
              <w:rPr>
                <w:szCs w:val="21"/>
              </w:rPr>
              <w:t>2.</w:t>
            </w:r>
            <w:r>
              <w:rPr>
                <w:rFonts w:hint="eastAsia"/>
                <w:szCs w:val="21"/>
              </w:rPr>
              <w:t>项目负责人具备测绘专业技术职称的工程师得</w:t>
            </w:r>
            <w:r>
              <w:rPr>
                <w:szCs w:val="21"/>
              </w:rPr>
              <w:t>3</w:t>
            </w:r>
            <w:r>
              <w:rPr>
                <w:rFonts w:hint="eastAsia"/>
                <w:szCs w:val="21"/>
              </w:rPr>
              <w:t>分；</w:t>
            </w:r>
          </w:p>
          <w:p>
            <w:pPr>
              <w:autoSpaceDE w:val="0"/>
              <w:autoSpaceDN w:val="0"/>
              <w:adjustRightInd w:val="0"/>
              <w:jc w:val="left"/>
              <w:rPr>
                <w:rFonts w:hint="eastAsia"/>
                <w:color w:val="000000"/>
                <w:szCs w:val="21"/>
              </w:rPr>
            </w:pPr>
            <w:r>
              <w:rPr>
                <w:color w:val="000000"/>
                <w:szCs w:val="21"/>
              </w:rPr>
              <w:t>3</w:t>
            </w:r>
            <w:r>
              <w:rPr>
                <w:rFonts w:hint="eastAsia"/>
                <w:color w:val="000000"/>
                <w:szCs w:val="21"/>
              </w:rPr>
              <w:t>.除项目负责人，参与本项目的作业人员不少于3人，具有中级测绘专业技术职称的，每人得</w:t>
            </w:r>
            <w:r>
              <w:rPr>
                <w:color w:val="000000"/>
                <w:szCs w:val="21"/>
              </w:rPr>
              <w:t>3</w:t>
            </w:r>
            <w:r>
              <w:rPr>
                <w:rFonts w:hint="eastAsia"/>
                <w:color w:val="000000"/>
                <w:szCs w:val="21"/>
              </w:rPr>
              <w:t>分，初级扣</w:t>
            </w:r>
            <w:r>
              <w:rPr>
                <w:color w:val="000000"/>
                <w:szCs w:val="21"/>
              </w:rPr>
              <w:t>0.5</w:t>
            </w:r>
            <w:r>
              <w:rPr>
                <w:rFonts w:hint="eastAsia"/>
                <w:color w:val="000000"/>
                <w:szCs w:val="21"/>
              </w:rPr>
              <w:t xml:space="preserve">分； </w:t>
            </w:r>
          </w:p>
        </w:tc>
        <w:tc>
          <w:tcPr>
            <w:tcW w:w="1621" w:type="dxa"/>
            <w:noWrap w:val="0"/>
            <w:vAlign w:val="top"/>
          </w:tcPr>
          <w:p>
            <w:pPr>
              <w:autoSpaceDE w:val="0"/>
              <w:autoSpaceDN w:val="0"/>
              <w:adjustRightInd w:val="0"/>
              <w:jc w:val="lef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提供相关人员职称证、注册证等复印证明材料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55" w:type="dxa"/>
            <w:noWrap w:val="0"/>
            <w:vAlign w:val="center"/>
          </w:tcPr>
          <w:p>
            <w:pPr>
              <w:autoSpaceDE w:val="0"/>
              <w:autoSpaceDN w:val="0"/>
              <w:adjustRightInd w:val="0"/>
              <w:jc w:val="center"/>
              <w:rPr>
                <w:rFonts w:hint="eastAsia" w:ascii="宋体" w:hAnsi="宋体"/>
                <w:color w:val="000000"/>
                <w:szCs w:val="21"/>
              </w:rPr>
            </w:pPr>
            <w:r>
              <w:rPr>
                <w:rFonts w:hint="eastAsia" w:ascii="宋体" w:hAnsi="宋体"/>
                <w:color w:val="000000"/>
                <w:szCs w:val="21"/>
              </w:rPr>
              <w:t>4</w:t>
            </w:r>
          </w:p>
        </w:tc>
        <w:tc>
          <w:tcPr>
            <w:tcW w:w="1393" w:type="dxa"/>
            <w:noWrap w:val="0"/>
            <w:vAlign w:val="center"/>
          </w:tcPr>
          <w:p>
            <w:pPr>
              <w:wordWrap w:val="0"/>
              <w:spacing w:line="0" w:lineRule="atLeast"/>
              <w:jc w:val="center"/>
              <w:rPr>
                <w:rFonts w:ascii="宋体" w:hAnsi="宋体"/>
                <w:bCs/>
                <w:szCs w:val="21"/>
              </w:rPr>
            </w:pPr>
            <w:r>
              <w:rPr>
                <w:rFonts w:hint="eastAsia" w:ascii="宋体" w:hAnsi="宋体"/>
                <w:bCs/>
                <w:szCs w:val="21"/>
              </w:rPr>
              <w:t>类似业绩</w:t>
            </w:r>
          </w:p>
        </w:tc>
        <w:tc>
          <w:tcPr>
            <w:tcW w:w="744" w:type="dxa"/>
            <w:noWrap w:val="0"/>
            <w:vAlign w:val="center"/>
          </w:tcPr>
          <w:p>
            <w:pPr>
              <w:autoSpaceDE w:val="0"/>
              <w:autoSpaceDN w:val="0"/>
              <w:adjustRightInd w:val="0"/>
              <w:jc w:val="center"/>
              <w:rPr>
                <w:rFonts w:ascii="宋体" w:hAnsi="宋体"/>
                <w:color w:val="000000"/>
                <w:szCs w:val="21"/>
              </w:rPr>
            </w:pPr>
            <w:r>
              <w:rPr>
                <w:rFonts w:ascii="宋体" w:hAnsi="宋体"/>
                <w:color w:val="000000"/>
                <w:szCs w:val="21"/>
              </w:rPr>
              <w:t>15</w:t>
            </w:r>
            <w:r>
              <w:rPr>
                <w:rFonts w:hint="eastAsia" w:ascii="宋体" w:hAnsi="宋体"/>
                <w:color w:val="000000"/>
                <w:szCs w:val="21"/>
              </w:rPr>
              <w:t>分</w:t>
            </w:r>
          </w:p>
        </w:tc>
        <w:tc>
          <w:tcPr>
            <w:tcW w:w="5575" w:type="dxa"/>
            <w:noWrap w:val="0"/>
            <w:vAlign w:val="top"/>
          </w:tcPr>
          <w:p>
            <w:pPr>
              <w:autoSpaceDE w:val="0"/>
              <w:autoSpaceDN w:val="0"/>
              <w:adjustRightInd w:val="0"/>
              <w:jc w:val="left"/>
              <w:rPr>
                <w:rFonts w:hint="eastAsia" w:ascii="宋体" w:hAnsi="宋体"/>
                <w:color w:val="000000"/>
                <w:szCs w:val="21"/>
              </w:rPr>
            </w:pPr>
            <w:r>
              <w:rPr>
                <w:rFonts w:hint="eastAsia"/>
                <w:color w:val="000000"/>
                <w:szCs w:val="21"/>
              </w:rPr>
              <w:t>投标单位提供近三年类似业绩的，每个得</w:t>
            </w:r>
            <w:r>
              <w:rPr>
                <w:color w:val="000000"/>
                <w:szCs w:val="21"/>
              </w:rPr>
              <w:t>5</w:t>
            </w:r>
            <w:r>
              <w:rPr>
                <w:rFonts w:hint="eastAsia"/>
                <w:color w:val="000000"/>
                <w:szCs w:val="21"/>
              </w:rPr>
              <w:t>分，最多得</w:t>
            </w:r>
            <w:r>
              <w:rPr>
                <w:color w:val="000000"/>
                <w:szCs w:val="21"/>
              </w:rPr>
              <w:t>1</w:t>
            </w:r>
            <w:r>
              <w:rPr>
                <w:rFonts w:hint="eastAsia"/>
                <w:color w:val="000000"/>
                <w:szCs w:val="21"/>
                <w:lang w:val="en-US" w:eastAsia="zh-CN"/>
              </w:rPr>
              <w:t>5</w:t>
            </w:r>
            <w:r>
              <w:rPr>
                <w:rFonts w:hint="eastAsia"/>
                <w:color w:val="000000"/>
                <w:szCs w:val="21"/>
              </w:rPr>
              <w:t>分。（业绩需提供合同复印件，否则不予加分</w:t>
            </w:r>
            <w:r>
              <w:rPr>
                <w:rFonts w:hint="eastAsia"/>
                <w:color w:val="000000"/>
                <w:szCs w:val="21"/>
                <w:lang w:eastAsia="zh-CN"/>
              </w:rPr>
              <w:t>）</w:t>
            </w:r>
            <w:bookmarkStart w:id="4" w:name="_GoBack"/>
            <w:bookmarkEnd w:id="4"/>
            <w:r>
              <w:rPr>
                <w:rFonts w:hint="eastAsia"/>
                <w:color w:val="000000"/>
                <w:szCs w:val="21"/>
              </w:rPr>
              <w:t>。</w:t>
            </w:r>
          </w:p>
        </w:tc>
        <w:tc>
          <w:tcPr>
            <w:tcW w:w="1621" w:type="dxa"/>
            <w:noWrap w:val="0"/>
            <w:vAlign w:val="top"/>
          </w:tcPr>
          <w:p>
            <w:pPr>
              <w:autoSpaceDE w:val="0"/>
              <w:autoSpaceDN w:val="0"/>
              <w:adjustRightInd w:val="0"/>
              <w:jc w:val="lef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提供相关合同和或协议文件或中标（选）通知书证明文件的复印件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55" w:type="dxa"/>
            <w:noWrap w:val="0"/>
            <w:vAlign w:val="center"/>
          </w:tcPr>
          <w:p>
            <w:pPr>
              <w:autoSpaceDE w:val="0"/>
              <w:autoSpaceDN w:val="0"/>
              <w:adjustRightInd w:val="0"/>
              <w:jc w:val="center"/>
              <w:rPr>
                <w:rFonts w:hint="eastAsia" w:ascii="宋体" w:hAnsi="宋体"/>
                <w:color w:val="000000"/>
                <w:szCs w:val="21"/>
              </w:rPr>
            </w:pPr>
            <w:r>
              <w:rPr>
                <w:rFonts w:hint="eastAsia" w:ascii="宋体" w:hAnsi="宋体"/>
                <w:color w:val="000000"/>
                <w:szCs w:val="21"/>
              </w:rPr>
              <w:t>5</w:t>
            </w:r>
          </w:p>
        </w:tc>
        <w:tc>
          <w:tcPr>
            <w:tcW w:w="1393" w:type="dxa"/>
            <w:noWrap w:val="0"/>
            <w:vAlign w:val="center"/>
          </w:tcPr>
          <w:p>
            <w:pPr>
              <w:wordWrap w:val="0"/>
              <w:spacing w:line="0" w:lineRule="atLeast"/>
              <w:jc w:val="center"/>
              <w:rPr>
                <w:rFonts w:ascii="宋体" w:hAnsi="宋体"/>
                <w:bCs/>
                <w:color w:val="000000"/>
                <w:szCs w:val="21"/>
              </w:rPr>
            </w:pPr>
            <w:r>
              <w:rPr>
                <w:rFonts w:hint="eastAsia" w:ascii="宋体" w:hAnsi="宋体"/>
                <w:bCs/>
                <w:color w:val="000000"/>
                <w:szCs w:val="21"/>
              </w:rPr>
              <w:t>响应文件制作规范</w:t>
            </w:r>
          </w:p>
        </w:tc>
        <w:tc>
          <w:tcPr>
            <w:tcW w:w="744" w:type="dxa"/>
            <w:noWrap w:val="0"/>
            <w:vAlign w:val="top"/>
          </w:tcPr>
          <w:p>
            <w:pPr>
              <w:autoSpaceDE w:val="0"/>
              <w:autoSpaceDN w:val="0"/>
              <w:adjustRightInd w:val="0"/>
              <w:jc w:val="left"/>
              <w:rPr>
                <w:rFonts w:hint="eastAsia" w:ascii="宋体" w:hAnsi="宋体"/>
                <w:color w:val="000000"/>
                <w:szCs w:val="21"/>
              </w:rPr>
            </w:pPr>
          </w:p>
          <w:p>
            <w:pPr>
              <w:autoSpaceDE w:val="0"/>
              <w:autoSpaceDN w:val="0"/>
              <w:adjustRightInd w:val="0"/>
              <w:ind w:firstLine="210" w:firstLineChars="100"/>
              <w:jc w:val="left"/>
              <w:rPr>
                <w:rFonts w:ascii="宋体" w:hAnsi="宋体"/>
                <w:color w:val="000000"/>
                <w:szCs w:val="21"/>
              </w:rPr>
            </w:pPr>
            <w:r>
              <w:rPr>
                <w:rFonts w:ascii="宋体" w:hAnsi="宋体"/>
                <w:color w:val="000000"/>
                <w:szCs w:val="21"/>
              </w:rPr>
              <w:t>3</w:t>
            </w:r>
            <w:r>
              <w:rPr>
                <w:rFonts w:hint="eastAsia" w:ascii="宋体" w:hAnsi="宋体"/>
                <w:color w:val="000000"/>
                <w:szCs w:val="21"/>
              </w:rPr>
              <w:t>分</w:t>
            </w:r>
          </w:p>
        </w:tc>
        <w:tc>
          <w:tcPr>
            <w:tcW w:w="5575" w:type="dxa"/>
            <w:noWrap w:val="0"/>
            <w:vAlign w:val="top"/>
          </w:tcPr>
          <w:p>
            <w:pPr>
              <w:autoSpaceDE w:val="0"/>
              <w:autoSpaceDN w:val="0"/>
              <w:adjustRightInd w:val="0"/>
              <w:jc w:val="left"/>
              <w:rPr>
                <w:rFonts w:hint="eastAsia" w:ascii="宋体" w:hAnsi="宋体"/>
                <w:color w:val="000000"/>
                <w:szCs w:val="21"/>
              </w:rPr>
            </w:pPr>
            <w:r>
              <w:rPr>
                <w:rFonts w:hint="eastAsia" w:ascii="宋体" w:hAnsi="宋体"/>
                <w:color w:val="000000"/>
                <w:szCs w:val="21"/>
              </w:rPr>
              <w:t>响应文件制作规范，没有细微偏差情形的得</w:t>
            </w:r>
            <w:r>
              <w:rPr>
                <w:rFonts w:ascii="宋体" w:hAnsi="宋体"/>
                <w:color w:val="000000"/>
                <w:szCs w:val="21"/>
              </w:rPr>
              <w:t>3</w:t>
            </w:r>
            <w:r>
              <w:rPr>
                <w:rFonts w:hint="eastAsia" w:ascii="宋体" w:hAnsi="宋体"/>
                <w:color w:val="000000"/>
                <w:szCs w:val="21"/>
              </w:rPr>
              <w:t>分；有一项细微偏差扣</w:t>
            </w:r>
            <w:r>
              <w:rPr>
                <w:rFonts w:ascii="宋体" w:hAnsi="宋体"/>
                <w:color w:val="000000"/>
                <w:szCs w:val="21"/>
              </w:rPr>
              <w:t>1.5</w:t>
            </w:r>
            <w:r>
              <w:rPr>
                <w:rFonts w:hint="eastAsia" w:ascii="宋体" w:hAnsi="宋体"/>
                <w:color w:val="000000"/>
                <w:szCs w:val="21"/>
              </w:rPr>
              <w:t>分，直至该项分值扣完为止。</w:t>
            </w:r>
          </w:p>
        </w:tc>
        <w:tc>
          <w:tcPr>
            <w:tcW w:w="1621" w:type="dxa"/>
            <w:noWrap w:val="0"/>
            <w:vAlign w:val="top"/>
          </w:tcPr>
          <w:p>
            <w:pPr>
              <w:autoSpaceDE w:val="0"/>
              <w:autoSpaceDN w:val="0"/>
              <w:adjustRightInd w:val="0"/>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55" w:type="dxa"/>
            <w:noWrap w:val="0"/>
            <w:vAlign w:val="center"/>
          </w:tcPr>
          <w:p>
            <w:pPr>
              <w:autoSpaceDE w:val="0"/>
              <w:autoSpaceDN w:val="0"/>
              <w:adjustRightInd w:val="0"/>
              <w:jc w:val="center"/>
              <w:rPr>
                <w:rFonts w:ascii="宋体" w:hAnsi="宋体"/>
                <w:color w:val="000000"/>
                <w:szCs w:val="21"/>
              </w:rPr>
            </w:pPr>
          </w:p>
          <w:p>
            <w:pPr>
              <w:autoSpaceDE w:val="0"/>
              <w:autoSpaceDN w:val="0"/>
              <w:adjustRightInd w:val="0"/>
              <w:jc w:val="center"/>
              <w:rPr>
                <w:rFonts w:hint="eastAsia" w:ascii="宋体" w:hAnsi="宋体"/>
                <w:color w:val="000000"/>
                <w:szCs w:val="21"/>
              </w:rPr>
            </w:pPr>
            <w:r>
              <w:rPr>
                <w:rFonts w:hint="eastAsia" w:ascii="宋体" w:hAnsi="宋体"/>
                <w:color w:val="000000"/>
                <w:szCs w:val="21"/>
              </w:rPr>
              <w:t>6</w:t>
            </w:r>
          </w:p>
        </w:tc>
        <w:tc>
          <w:tcPr>
            <w:tcW w:w="1393" w:type="dxa"/>
            <w:noWrap w:val="0"/>
            <w:vAlign w:val="center"/>
          </w:tcPr>
          <w:p>
            <w:pPr>
              <w:wordWrap w:val="0"/>
              <w:spacing w:line="0" w:lineRule="atLeast"/>
              <w:jc w:val="center"/>
              <w:rPr>
                <w:rFonts w:ascii="宋体" w:hAnsi="宋体"/>
                <w:bCs/>
                <w:color w:val="000000"/>
                <w:szCs w:val="21"/>
              </w:rPr>
            </w:pPr>
          </w:p>
          <w:p>
            <w:pPr>
              <w:wordWrap w:val="0"/>
              <w:spacing w:line="0" w:lineRule="atLeast"/>
              <w:jc w:val="center"/>
              <w:rPr>
                <w:rFonts w:hint="eastAsia" w:ascii="宋体" w:hAnsi="宋体"/>
                <w:bCs/>
                <w:color w:val="000000"/>
                <w:szCs w:val="21"/>
              </w:rPr>
            </w:pPr>
            <w:r>
              <w:rPr>
                <w:rFonts w:hint="eastAsia" w:ascii="宋体" w:hAnsi="宋体"/>
                <w:bCs/>
                <w:color w:val="000000"/>
                <w:szCs w:val="21"/>
              </w:rPr>
              <w:t>服务方案</w:t>
            </w:r>
          </w:p>
        </w:tc>
        <w:tc>
          <w:tcPr>
            <w:tcW w:w="744" w:type="dxa"/>
            <w:noWrap w:val="0"/>
            <w:vAlign w:val="center"/>
          </w:tcPr>
          <w:p>
            <w:pPr>
              <w:autoSpaceDE w:val="0"/>
              <w:autoSpaceDN w:val="0"/>
              <w:adjustRightInd w:val="0"/>
              <w:ind w:firstLine="210" w:firstLineChars="100"/>
              <w:jc w:val="center"/>
              <w:rPr>
                <w:rFonts w:ascii="宋体" w:hAnsi="宋体"/>
                <w:color w:val="000000"/>
                <w:szCs w:val="21"/>
              </w:rPr>
            </w:pPr>
          </w:p>
          <w:p>
            <w:pPr>
              <w:autoSpaceDE w:val="0"/>
              <w:autoSpaceDN w:val="0"/>
              <w:adjustRightInd w:val="0"/>
              <w:jc w:val="center"/>
              <w:rPr>
                <w:rFonts w:hint="eastAsia" w:ascii="宋体" w:hAnsi="宋体"/>
                <w:color w:val="000000"/>
                <w:szCs w:val="21"/>
              </w:rPr>
            </w:pPr>
            <w:r>
              <w:rPr>
                <w:rFonts w:ascii="宋体" w:hAnsi="宋体"/>
                <w:color w:val="000000"/>
                <w:szCs w:val="21"/>
              </w:rPr>
              <w:t>30</w:t>
            </w:r>
            <w:r>
              <w:rPr>
                <w:rFonts w:hint="eastAsia" w:ascii="宋体" w:hAnsi="宋体"/>
                <w:color w:val="000000"/>
                <w:szCs w:val="21"/>
              </w:rPr>
              <w:t>分</w:t>
            </w:r>
          </w:p>
        </w:tc>
        <w:tc>
          <w:tcPr>
            <w:tcW w:w="5575" w:type="dxa"/>
            <w:noWrap w:val="0"/>
            <w:vAlign w:val="top"/>
          </w:tcPr>
          <w:p>
            <w:pPr>
              <w:numPr>
                <w:ilvl w:val="0"/>
                <w:numId w:val="1"/>
              </w:numPr>
              <w:wordWrap w:val="0"/>
              <w:spacing w:line="276" w:lineRule="auto"/>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对本项目测绘的理解和分析（6分）：理解和分析到位得4分；理解和分析一般得2分；无得0分</w:t>
            </w:r>
            <w:r>
              <w:rPr>
                <w:rFonts w:hint="eastAsia" w:ascii="宋体" w:hAnsi="宋体" w:eastAsia="宋体" w:cs="宋体"/>
                <w:color w:val="000000"/>
                <w:sz w:val="24"/>
                <w:szCs w:val="24"/>
                <w:lang w:eastAsia="zh-CN"/>
              </w:rPr>
              <w:t>。</w:t>
            </w:r>
          </w:p>
          <w:p>
            <w:pPr>
              <w:numPr>
                <w:ilvl w:val="0"/>
                <w:numId w:val="1"/>
              </w:numPr>
              <w:wordWrap w:val="0"/>
              <w:spacing w:line="276"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测绘工作的程序与方法（8分）：测绘的程序与方法针对性强、合理可行，完全满足项目需求得8分；测绘的程序与方法针对性较强、较合理可行，较好满足项目需求得4分；检测的程序与方法针对性一般、可行性一般，满足项目需求一般得2分；无得0分。</w:t>
            </w:r>
          </w:p>
          <w:p>
            <w:pPr>
              <w:numPr>
                <w:ilvl w:val="0"/>
                <w:numId w:val="1"/>
              </w:numPr>
              <w:wordWrap w:val="0"/>
              <w:spacing w:line="276"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测绘工作质量控制及保证措施（8分）：测绘的质量控制及保证措施针对性强、合理可行，完全满足项目需求得8分；测绘的质量控制及保证措施针对性较强、较合理可行，较好满足项目需求得4分；测绘的质量控制及保证措施针对性一般、可行性一般，满足项目需求一般得2分；无得0分。</w:t>
            </w:r>
          </w:p>
          <w:p>
            <w:pPr>
              <w:spacing w:line="320" w:lineRule="exact"/>
              <w:rPr>
                <w:rFonts w:hint="eastAsia"/>
                <w:color w:val="000000"/>
                <w:kern w:val="2"/>
                <w:sz w:val="21"/>
                <w:szCs w:val="21"/>
                <w:lang w:val="en-US" w:eastAsia="zh-CN" w:bidi="ar-SA"/>
              </w:rPr>
            </w:pPr>
            <w:r>
              <w:rPr>
                <w:rFonts w:hint="eastAsia" w:ascii="宋体" w:hAnsi="宋体" w:eastAsia="宋体" w:cs="宋体"/>
                <w:color w:val="000000"/>
                <w:sz w:val="24"/>
                <w:szCs w:val="24"/>
                <w:lang w:val="en-US" w:eastAsia="zh-CN"/>
              </w:rPr>
              <w:t>4、测绘工作进度控制及保证措施（8分）：测绘的进度控制及保证措施针对性强、合理可行，完全满足项目需求得8分；测绘的进度控制及保证措施针对性较强、较合理可行，较好满足项目需求得4分；测绘的测绘的进度控制及保证措施针对性一般、可行性一般，满足项目需求一般得2分；无得0分。</w:t>
            </w:r>
          </w:p>
        </w:tc>
        <w:tc>
          <w:tcPr>
            <w:tcW w:w="1621" w:type="dxa"/>
            <w:noWrap w:val="0"/>
            <w:vAlign w:val="top"/>
          </w:tcPr>
          <w:p>
            <w:pPr>
              <w:autoSpaceDE w:val="0"/>
              <w:autoSpaceDN w:val="0"/>
              <w:adjustRightInd w:val="0"/>
              <w:jc w:val="left"/>
              <w:rPr>
                <w:rFonts w:hint="eastAsia" w:ascii="宋体" w:hAnsi="宋体"/>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CE3DD"/>
    <w:multiLevelType w:val="singleLevel"/>
    <w:tmpl w:val="72ECE3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8B2008"/>
    <w:rsid w:val="0DE87C01"/>
    <w:rsid w:val="14B8345F"/>
    <w:rsid w:val="159266A5"/>
    <w:rsid w:val="19866520"/>
    <w:rsid w:val="1C113504"/>
    <w:rsid w:val="1F75336D"/>
    <w:rsid w:val="251D6C08"/>
    <w:rsid w:val="27EA794D"/>
    <w:rsid w:val="393D3264"/>
    <w:rsid w:val="3DAD69FC"/>
    <w:rsid w:val="3F5220BF"/>
    <w:rsid w:val="47F045E0"/>
    <w:rsid w:val="4869103F"/>
    <w:rsid w:val="4963549A"/>
    <w:rsid w:val="4D754306"/>
    <w:rsid w:val="500B7E4C"/>
    <w:rsid w:val="50125740"/>
    <w:rsid w:val="56A143BE"/>
    <w:rsid w:val="570633CF"/>
    <w:rsid w:val="5B1419A0"/>
    <w:rsid w:val="5BAF4E87"/>
    <w:rsid w:val="5CDF7602"/>
    <w:rsid w:val="5CFE2369"/>
    <w:rsid w:val="65D0203B"/>
    <w:rsid w:val="699A448C"/>
    <w:rsid w:val="7B3E36DA"/>
    <w:rsid w:val="7C3564CC"/>
    <w:rsid w:val="7CC16371"/>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kern w:val="0"/>
      <w:sz w:val="20"/>
      <w:szCs w:val="20"/>
    </w:rPr>
  </w:style>
  <w:style w:type="paragraph" w:styleId="6">
    <w:name w:val="Body Text Indent"/>
    <w:basedOn w:val="1"/>
    <w:next w:val="1"/>
    <w:qFormat/>
    <w:uiPriority w:val="0"/>
    <w:pPr>
      <w:ind w:firstLine="630"/>
    </w:pPr>
    <w:rPr>
      <w:sz w:val="32"/>
      <w:szCs w:val="20"/>
    </w:rPr>
  </w:style>
  <w:style w:type="paragraph" w:styleId="7">
    <w:name w:val="List Continue 2"/>
    <w:basedOn w:val="1"/>
    <w:qFormat/>
    <w:uiPriority w:val="0"/>
    <w:pPr>
      <w:spacing w:after="120"/>
      <w:ind w:left="840" w:leftChars="400"/>
    </w:pPr>
  </w:style>
  <w:style w:type="paragraph" w:styleId="8">
    <w:name w:val="Body Text First Indent"/>
    <w:basedOn w:val="2"/>
    <w:next w:val="9"/>
    <w:qFormat/>
    <w:uiPriority w:val="0"/>
    <w:pPr>
      <w:tabs>
        <w:tab w:val="left" w:pos="2138"/>
      </w:tabs>
      <w:spacing w:line="240" w:lineRule="auto"/>
      <w:ind w:firstLine="420" w:firstLineChars="100"/>
    </w:pPr>
    <w:rPr>
      <w:rFonts w:ascii="宋体" w:hAnsi="Times New Roman" w:eastAsia="宋体"/>
      <w:kern w:val="0"/>
      <w:sz w:val="20"/>
      <w:szCs w:val="24"/>
    </w:rPr>
  </w:style>
  <w:style w:type="paragraph" w:styleId="9">
    <w:name w:val="Body Text First Indent 2"/>
    <w:basedOn w:val="6"/>
    <w:next w:val="1"/>
    <w:qFormat/>
    <w:uiPriority w:val="0"/>
    <w:pPr>
      <w:spacing w:after="120"/>
      <w:ind w:left="420" w:leftChars="200" w:firstLine="420" w:firstLineChars="200"/>
    </w:pPr>
    <w:rPr>
      <w:color w:val="FF0000"/>
      <w:kern w:val="0"/>
      <w:sz w:val="22"/>
      <w:szCs w:val="24"/>
    </w:rPr>
  </w:style>
  <w:style w:type="paragraph" w:customStyle="1" w:styleId="12">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6 1 docdefaults"/>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3801</Words>
  <Characters>3905</Characters>
  <Lines>0</Lines>
  <Paragraphs>0</Paragraphs>
  <TotalTime>42</TotalTime>
  <ScaleCrop>false</ScaleCrop>
  <LinksUpToDate>false</LinksUpToDate>
  <CharactersWithSpaces>4506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2023-07-26T09:01:24Z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BAF3B0645893463DB4150003323D4933_13</vt:lpwstr>
  </property>
</Properties>
</file>