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2"/>
          <w:szCs w:val="52"/>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480" w:lineRule="auto"/>
        <w:ind w:left="3528" w:leftChars="418" w:hanging="2650" w:hangingChars="600"/>
        <w:jc w:val="both"/>
        <w:textAlignment w:val="auto"/>
        <w:rPr>
          <w:rFonts w:hint="eastAsia" w:ascii="宋体" w:hAnsi="宋体" w:eastAsia="宋体" w:cs="宋体"/>
          <w:b/>
          <w:bCs/>
          <w:sz w:val="44"/>
          <w:szCs w:val="44"/>
          <w:u w:val="single"/>
        </w:rPr>
      </w:pPr>
      <w:r>
        <w:rPr>
          <w:rFonts w:hint="eastAsia" w:ascii="宋体" w:hAnsi="宋体" w:eastAsia="宋体" w:cs="宋体"/>
          <w:b/>
          <w:bCs/>
          <w:sz w:val="44"/>
          <w:szCs w:val="44"/>
          <w:lang w:eastAsia="zh-CN"/>
        </w:rPr>
        <w:t>项目名称：</w:t>
      </w:r>
      <w:r>
        <w:rPr>
          <w:rFonts w:hint="eastAsia" w:ascii="宋体" w:hAnsi="宋体" w:eastAsia="宋体" w:cs="宋体"/>
          <w:b/>
          <w:bCs/>
          <w:sz w:val="44"/>
          <w:szCs w:val="44"/>
          <w:u w:val="single"/>
        </w:rPr>
        <w:t>远程疑难病理会诊及病理外送</w:t>
      </w:r>
    </w:p>
    <w:p>
      <w:pPr>
        <w:keepNext w:val="0"/>
        <w:keepLines w:val="0"/>
        <w:pageBreakBefore w:val="0"/>
        <w:widowControl w:val="0"/>
        <w:kinsoku/>
        <w:wordWrap/>
        <w:overflowPunct/>
        <w:topLinePunct w:val="0"/>
        <w:autoSpaceDE/>
        <w:autoSpaceDN/>
        <w:bidi w:val="0"/>
        <w:adjustRightInd/>
        <w:snapToGrid/>
        <w:spacing w:line="480" w:lineRule="auto"/>
        <w:ind w:left="3514" w:leftChars="1463" w:hanging="442" w:hangingChars="100"/>
        <w:jc w:val="both"/>
        <w:textAlignment w:val="auto"/>
        <w:rPr>
          <w:rFonts w:hint="default" w:ascii="宋体" w:hAnsi="宋体" w:eastAsia="宋体" w:cs="宋体"/>
          <w:b/>
          <w:bCs/>
          <w:sz w:val="52"/>
          <w:szCs w:val="52"/>
          <w:lang w:val="en-US" w:eastAsia="zh-CN"/>
        </w:rPr>
      </w:pPr>
      <w:bookmarkStart w:id="5" w:name="_GoBack"/>
      <w:bookmarkEnd w:id="5"/>
      <w:r>
        <w:rPr>
          <w:rFonts w:hint="eastAsia" w:ascii="宋体" w:hAnsi="宋体" w:eastAsia="宋体" w:cs="宋体"/>
          <w:b/>
          <w:bCs/>
          <w:sz w:val="44"/>
          <w:szCs w:val="44"/>
          <w:u w:val="single"/>
        </w:rPr>
        <w:t>项目</w:t>
      </w: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firstLine="883" w:firstLineChars="200"/>
        <w:textAlignment w:val="auto"/>
        <w:rPr>
          <w:rFonts w:hint="default" w:ascii="宋体" w:hAnsi="宋体" w:eastAsia="宋体" w:cs="宋体"/>
          <w:sz w:val="44"/>
          <w:szCs w:val="44"/>
          <w:lang w:val="en-US" w:eastAsia="zh-CN"/>
        </w:rPr>
      </w:pPr>
      <w:r>
        <w:rPr>
          <w:rFonts w:hint="eastAsia" w:ascii="宋体" w:hAnsi="宋体" w:eastAsia="宋体" w:cs="宋体"/>
          <w:b/>
          <w:bCs/>
          <w:sz w:val="44"/>
          <w:szCs w:val="44"/>
          <w:lang w:eastAsia="zh-CN"/>
        </w:rPr>
        <w:t>编制日期：</w:t>
      </w:r>
      <w:r>
        <w:rPr>
          <w:rFonts w:hint="eastAsia" w:ascii="宋体" w:hAnsi="宋体" w:eastAsia="宋体" w:cs="宋体"/>
          <w:b/>
          <w:bCs/>
          <w:sz w:val="44"/>
          <w:szCs w:val="44"/>
          <w:u w:val="single"/>
          <w:lang w:val="en-US" w:eastAsia="zh-CN"/>
        </w:rPr>
        <w:t>2023年8月</w:t>
      </w:r>
      <w:r>
        <w:rPr>
          <w:rFonts w:hint="eastAsia" w:ascii="宋体" w:hAnsi="宋体" w:cs="宋体"/>
          <w:b/>
          <w:bCs/>
          <w:sz w:val="44"/>
          <w:szCs w:val="44"/>
          <w:u w:val="single"/>
          <w:lang w:val="en-US" w:eastAsia="zh-CN"/>
        </w:rPr>
        <w:t>22</w:t>
      </w:r>
      <w:r>
        <w:rPr>
          <w:rFonts w:hint="eastAsia" w:ascii="宋体" w:hAnsi="宋体" w:eastAsia="宋体" w:cs="宋体"/>
          <w:b/>
          <w:bCs/>
          <w:sz w:val="44"/>
          <w:szCs w:val="44"/>
          <w:u w:val="single"/>
          <w:lang w:val="en-US" w:eastAsia="zh-CN"/>
        </w:rPr>
        <w:t>日</w:t>
      </w:r>
      <w:r>
        <w:rPr>
          <w:rFonts w:hint="eastAsia" w:ascii="宋体" w:hAnsi="宋体" w:cs="宋体"/>
          <w:b/>
          <w:bCs/>
          <w:sz w:val="44"/>
          <w:szCs w:val="44"/>
          <w:u w:val="single"/>
          <w:lang w:val="en-US" w:eastAsia="zh-CN"/>
        </w:rPr>
        <w:t xml:space="preserve"> </w:t>
      </w:r>
    </w:p>
    <w:p>
      <w:pPr>
        <w:spacing w:line="500" w:lineRule="exact"/>
        <w:jc w:val="center"/>
        <w:rPr>
          <w:rFonts w:hint="eastAsia" w:ascii="宋体" w:hAnsi="宋体" w:eastAsia="宋体" w:cs="宋体"/>
          <w:b/>
          <w:bCs/>
          <w:sz w:val="32"/>
          <w:szCs w:val="32"/>
        </w:rPr>
      </w:pPr>
    </w:p>
    <w:p>
      <w:pPr>
        <w:pStyle w:val="2"/>
        <w:rPr>
          <w:rFonts w:hint="eastAsia" w:ascii="宋体" w:hAnsi="宋体" w:eastAsia="宋体" w:cs="宋体"/>
          <w:b/>
          <w:bCs/>
          <w:sz w:val="32"/>
          <w:szCs w:val="32"/>
        </w:rPr>
      </w:pPr>
    </w:p>
    <w:p>
      <w:pPr>
        <w:pStyle w:val="3"/>
        <w:rPr>
          <w:rFonts w:hint="eastAsia" w:ascii="宋体" w:hAnsi="宋体" w:eastAsia="宋体" w:cs="宋体"/>
          <w:b/>
          <w:bCs/>
          <w:sz w:val="32"/>
          <w:szCs w:val="32"/>
        </w:rPr>
      </w:pPr>
    </w:p>
    <w:p>
      <w:pPr>
        <w:pStyle w:val="3"/>
        <w:rPr>
          <w:rFonts w:hint="eastAsia" w:ascii="宋体" w:hAnsi="宋体" w:eastAsia="宋体" w:cs="宋体"/>
          <w:b/>
          <w:bCs/>
          <w:sz w:val="32"/>
          <w:szCs w:val="32"/>
        </w:rPr>
      </w:pPr>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spacing w:line="500" w:lineRule="exact"/>
        <w:jc w:val="center"/>
        <w:rPr>
          <w:rFonts w:hint="eastAsia" w:ascii="宋体" w:hAnsi="宋体" w:eastAsia="宋体" w:cs="宋体"/>
          <w:b/>
          <w:bCs/>
          <w:sz w:val="32"/>
          <w:szCs w:val="32"/>
        </w:rPr>
      </w:pPr>
      <w:r>
        <w:rPr>
          <w:rFonts w:hint="eastAsia" w:ascii="宋体" w:hAnsi="宋体" w:eastAsia="宋体" w:cs="宋体"/>
          <w:b/>
          <w:bCs/>
          <w:sz w:val="32"/>
          <w:szCs w:val="32"/>
        </w:rPr>
        <w:t>三台县人民医院</w:t>
      </w:r>
    </w:p>
    <w:p>
      <w:pPr>
        <w:spacing w:line="500" w:lineRule="exact"/>
        <w:jc w:val="center"/>
        <w:rPr>
          <w:rFonts w:hint="eastAsia"/>
          <w:lang w:eastAsia="zh-CN"/>
        </w:rPr>
      </w:pPr>
      <w:r>
        <w:rPr>
          <w:rFonts w:hint="eastAsia" w:ascii="宋体" w:hAnsi="宋体" w:eastAsia="宋体" w:cs="宋体"/>
          <w:b/>
          <w:bCs/>
          <w:sz w:val="32"/>
          <w:szCs w:val="32"/>
        </w:rPr>
        <w:t>关于远程疑难病理会诊及病理外送项目采购</w:t>
      </w:r>
      <w:r>
        <w:rPr>
          <w:rFonts w:hint="eastAsia" w:ascii="宋体" w:hAnsi="宋体" w:eastAsia="宋体" w:cs="宋体"/>
          <w:b/>
          <w:bCs/>
          <w:sz w:val="32"/>
          <w:szCs w:val="32"/>
          <w:lang w:eastAsia="zh-CN"/>
        </w:rPr>
        <w:t>公告</w:t>
      </w:r>
    </w:p>
    <w:p>
      <w:pPr>
        <w:spacing w:line="440" w:lineRule="exact"/>
        <w:rPr>
          <w:rFonts w:ascii="Times New Roman" w:hAnsi="Times New Roman"/>
          <w:b/>
          <w:bCs/>
          <w:sz w:val="24"/>
        </w:rPr>
      </w:pPr>
      <w:r>
        <w:rPr>
          <w:rFonts w:ascii="Times New Roman" w:hAnsi="Times New Roman"/>
          <w:b/>
          <w:bCs/>
          <w:sz w:val="24"/>
        </w:rPr>
        <w:t>各潜在申请人：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color w:val="000000"/>
          <w:sz w:val="24"/>
          <w:lang w:eastAsia="zh-CN"/>
        </w:rPr>
        <w:t>拟</w:t>
      </w:r>
      <w:r>
        <w:rPr>
          <w:rFonts w:hint="eastAsia" w:ascii="Times New Roman" w:hAnsi="Times New Roman"/>
          <w:color w:val="000000"/>
          <w:sz w:val="24"/>
        </w:rPr>
        <w:t>采购第三方检验机构，对远程疑难病理会诊及病理外送，兹以公告方式邀请符合要求的供应商参加比选。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bCs/>
          <w:sz w:val="24"/>
        </w:rPr>
        <w:t>远程疑难病理会诊及病理外送</w:t>
      </w:r>
      <w:r>
        <w:rPr>
          <w:rFonts w:ascii="Times New Roman" w:hAnsi="Times New Roman"/>
          <w:bCs/>
          <w:sz w:val="24"/>
        </w:rPr>
        <w:t>采购项目</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hint="eastAsia" w:ascii="宋体" w:hAnsi="宋体" w:eastAsia="宋体" w:cs="宋体"/>
          <w:b/>
          <w:bCs/>
          <w:color w:val="auto"/>
          <w:sz w:val="28"/>
          <w:szCs w:val="28"/>
        </w:rPr>
        <w:t>项目</w:t>
      </w:r>
      <w:r>
        <w:rPr>
          <w:rFonts w:ascii="Times New Roman" w:hAnsi="Times New Roman"/>
          <w:b/>
          <w:bCs/>
          <w:sz w:val="24"/>
        </w:rPr>
        <w:t>内容</w:t>
      </w:r>
    </w:p>
    <w:tbl>
      <w:tblPr>
        <w:tblStyle w:val="10"/>
        <w:tblW w:w="8779" w:type="dxa"/>
        <w:jc w:val="center"/>
        <w:tblLayout w:type="fixed"/>
        <w:tblCellMar>
          <w:top w:w="0" w:type="dxa"/>
          <w:left w:w="0" w:type="dxa"/>
          <w:bottom w:w="0" w:type="dxa"/>
          <w:right w:w="0" w:type="dxa"/>
        </w:tblCellMar>
      </w:tblPr>
      <w:tblGrid>
        <w:gridCol w:w="936"/>
        <w:gridCol w:w="2415"/>
        <w:gridCol w:w="2070"/>
        <w:gridCol w:w="1920"/>
        <w:gridCol w:w="1438"/>
      </w:tblGrid>
      <w:tr>
        <w:tblPrEx>
          <w:tblCellMar>
            <w:top w:w="0" w:type="dxa"/>
            <w:left w:w="0" w:type="dxa"/>
            <w:bottom w:w="0" w:type="dxa"/>
            <w:right w:w="0" w:type="dxa"/>
          </w:tblCellMar>
        </w:tblPrEx>
        <w:trPr>
          <w:trHeight w:val="260" w:hRule="atLeast"/>
          <w:jc w:val="center"/>
        </w:trPr>
        <w:tc>
          <w:tcPr>
            <w:tcW w:w="93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color w:val="auto"/>
                <w:sz w:val="24"/>
                <w:szCs w:val="24"/>
              </w:rPr>
            </w:pPr>
            <w:r>
              <w:rPr>
                <w:rFonts w:hint="eastAsia" w:ascii="宋体" w:hAnsi="宋体" w:eastAsia="宋体" w:cs="宋体"/>
                <w:b/>
                <w:bCs/>
                <w:color w:val="000000"/>
                <w:kern w:val="0"/>
                <w:sz w:val="24"/>
                <w:szCs w:val="24"/>
              </w:rPr>
              <w:t>序号</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color w:val="auto"/>
                <w:sz w:val="24"/>
                <w:szCs w:val="24"/>
              </w:rPr>
            </w:pPr>
            <w:r>
              <w:rPr>
                <w:rFonts w:hint="eastAsia" w:ascii="宋体" w:hAnsi="宋体" w:eastAsia="宋体" w:cs="宋体"/>
                <w:b/>
                <w:bCs/>
                <w:color w:val="000000"/>
                <w:kern w:val="0"/>
                <w:sz w:val="24"/>
                <w:szCs w:val="24"/>
              </w:rPr>
              <w:t>项目</w:t>
            </w:r>
          </w:p>
        </w:tc>
        <w:tc>
          <w:tcPr>
            <w:tcW w:w="20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color w:val="auto"/>
                <w:sz w:val="24"/>
                <w:szCs w:val="24"/>
              </w:rPr>
            </w:pPr>
            <w:r>
              <w:rPr>
                <w:rFonts w:hint="eastAsia" w:ascii="宋体" w:hAnsi="宋体" w:eastAsia="宋体" w:cs="宋体"/>
                <w:b/>
                <w:bCs/>
                <w:color w:val="000000"/>
                <w:kern w:val="0"/>
                <w:sz w:val="24"/>
                <w:szCs w:val="24"/>
              </w:rPr>
              <w:t>出报告时限</w:t>
            </w:r>
          </w:p>
        </w:tc>
        <w:tc>
          <w:tcPr>
            <w:tcW w:w="19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限价</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000000"/>
                <w:kern w:val="0"/>
                <w:sz w:val="24"/>
                <w:szCs w:val="24"/>
                <w:lang w:eastAsia="zh-CN"/>
              </w:rPr>
              <w:t>（万元）</w:t>
            </w:r>
          </w:p>
        </w:tc>
        <w:tc>
          <w:tcPr>
            <w:tcW w:w="143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000000"/>
                <w:kern w:val="0"/>
                <w:sz w:val="24"/>
                <w:szCs w:val="24"/>
                <w:lang w:eastAsia="zh-CN"/>
              </w:rPr>
              <w:t>备注</w:t>
            </w:r>
          </w:p>
        </w:tc>
      </w:tr>
      <w:tr>
        <w:tblPrEx>
          <w:tblCellMar>
            <w:top w:w="0" w:type="dxa"/>
            <w:left w:w="0" w:type="dxa"/>
            <w:bottom w:w="0" w:type="dxa"/>
            <w:right w:w="0" w:type="dxa"/>
          </w:tblCellMar>
        </w:tblPrEx>
        <w:trPr>
          <w:trHeight w:val="250" w:hRule="atLeast"/>
          <w:jc w:val="center"/>
        </w:trPr>
        <w:tc>
          <w:tcPr>
            <w:tcW w:w="93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000000"/>
                <w:kern w:val="0"/>
                <w:sz w:val="24"/>
                <w:szCs w:val="24"/>
              </w:rPr>
              <w:t>1</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eastAsia="宋体" w:cs="宋体"/>
                <w:color w:val="auto"/>
                <w:sz w:val="24"/>
                <w:szCs w:val="24"/>
              </w:rPr>
            </w:pPr>
            <w:r>
              <w:rPr>
                <w:rFonts w:hint="eastAsia" w:ascii="宋体" w:hAnsi="宋体" w:eastAsia="宋体" w:cs="宋体"/>
                <w:color w:val="000000"/>
                <w:sz w:val="24"/>
                <w:szCs w:val="24"/>
              </w:rPr>
              <w:t>疑难病例会诊</w:t>
            </w:r>
          </w:p>
        </w:tc>
        <w:tc>
          <w:tcPr>
            <w:tcW w:w="20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000000"/>
                <w:kern w:val="0"/>
                <w:sz w:val="24"/>
                <w:szCs w:val="24"/>
                <w:u w:val="none"/>
              </w:rPr>
              <w:t>2</w:t>
            </w:r>
            <w:r>
              <w:rPr>
                <w:rFonts w:hint="eastAsia" w:ascii="宋体" w:hAnsi="宋体" w:eastAsia="宋体" w:cs="宋体"/>
                <w:color w:val="000000"/>
                <w:kern w:val="0"/>
                <w:sz w:val="24"/>
                <w:szCs w:val="24"/>
              </w:rPr>
              <w:t>个工作日</w:t>
            </w:r>
          </w:p>
        </w:tc>
        <w:tc>
          <w:tcPr>
            <w:tcW w:w="1920" w:type="dxa"/>
            <w:vMerge w:val="restart"/>
            <w:tcBorders>
              <w:top w:val="single" w:color="000000" w:sz="4" w:space="0"/>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auto"/>
                <w:kern w:val="0"/>
                <w:sz w:val="24"/>
                <w:szCs w:val="24"/>
                <w:u w:val="single"/>
                <w:lang w:val="en-US" w:eastAsia="zh-CN"/>
              </w:rPr>
            </w:pPr>
            <w:r>
              <w:rPr>
                <w:rFonts w:hint="eastAsia" w:ascii="宋体" w:hAnsi="宋体" w:eastAsia="宋体" w:cs="宋体"/>
                <w:color w:val="000000"/>
                <w:kern w:val="0"/>
                <w:sz w:val="24"/>
                <w:szCs w:val="24"/>
                <w:u w:val="none"/>
                <w:lang w:val="en-US" w:eastAsia="zh-CN"/>
              </w:rPr>
              <w:t>20.00</w:t>
            </w:r>
          </w:p>
        </w:tc>
        <w:tc>
          <w:tcPr>
            <w:tcW w:w="1438" w:type="dxa"/>
            <w:vMerge w:val="restart"/>
            <w:tcBorders>
              <w:top w:val="single" w:color="000000" w:sz="4" w:space="0"/>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color w:val="auto"/>
                <w:kern w:val="0"/>
                <w:sz w:val="24"/>
                <w:szCs w:val="24"/>
                <w:u w:val="single"/>
              </w:rPr>
            </w:pPr>
            <w:r>
              <w:rPr>
                <w:rFonts w:hint="eastAsia" w:ascii="宋体" w:hAnsi="宋体" w:eastAsia="宋体" w:cs="宋体"/>
                <w:color w:val="000000"/>
                <w:sz w:val="24"/>
                <w:szCs w:val="24"/>
              </w:rPr>
              <w:t>本项目采购单价</w:t>
            </w:r>
          </w:p>
        </w:tc>
      </w:tr>
      <w:tr>
        <w:tblPrEx>
          <w:tblCellMar>
            <w:top w:w="0" w:type="dxa"/>
            <w:left w:w="0" w:type="dxa"/>
            <w:bottom w:w="0" w:type="dxa"/>
            <w:right w:w="0" w:type="dxa"/>
          </w:tblCellMar>
        </w:tblPrEx>
        <w:trPr>
          <w:trHeight w:val="250" w:hRule="atLeast"/>
          <w:jc w:val="center"/>
        </w:trPr>
        <w:tc>
          <w:tcPr>
            <w:tcW w:w="93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kern w:val="0"/>
                <w:sz w:val="24"/>
                <w:szCs w:val="24"/>
              </w:rPr>
              <w:t>2</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sz w:val="24"/>
                <w:szCs w:val="24"/>
              </w:rPr>
              <w:t>外送免疫组化检测</w:t>
            </w:r>
          </w:p>
        </w:tc>
        <w:tc>
          <w:tcPr>
            <w:tcW w:w="20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color w:val="auto"/>
                <w:kern w:val="2"/>
                <w:sz w:val="24"/>
                <w:szCs w:val="24"/>
                <w:lang w:val="en-US" w:eastAsia="zh-CN" w:bidi="ar-SA"/>
              </w:rPr>
            </w:pPr>
            <w:r>
              <w:rPr>
                <w:rFonts w:hint="eastAsia" w:ascii="宋体" w:hAnsi="宋体" w:eastAsia="宋体" w:cs="宋体"/>
                <w:color w:val="000000"/>
                <w:kern w:val="0"/>
                <w:sz w:val="24"/>
                <w:szCs w:val="24"/>
                <w:u w:val="none"/>
              </w:rPr>
              <w:t>7</w:t>
            </w:r>
            <w:r>
              <w:rPr>
                <w:rFonts w:hint="eastAsia" w:ascii="宋体" w:hAnsi="宋体" w:eastAsia="宋体" w:cs="宋体"/>
                <w:color w:val="000000"/>
                <w:kern w:val="0"/>
                <w:sz w:val="24"/>
                <w:szCs w:val="24"/>
              </w:rPr>
              <w:t>个工作日</w:t>
            </w:r>
          </w:p>
        </w:tc>
        <w:tc>
          <w:tcPr>
            <w:tcW w:w="192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4"/>
                <w:szCs w:val="24"/>
                <w:u w:val="none"/>
                <w:lang w:val="en-US" w:eastAsia="zh-CN"/>
              </w:rPr>
            </w:pPr>
          </w:p>
        </w:tc>
        <w:tc>
          <w:tcPr>
            <w:tcW w:w="1438"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50" w:hRule="atLeast"/>
          <w:jc w:val="center"/>
        </w:trPr>
        <w:tc>
          <w:tcPr>
            <w:tcW w:w="93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rPr>
              <w:t>3</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rPr>
              <w:t>PDL1（22C3）全自动免疫组化</w:t>
            </w:r>
            <w:r>
              <w:rPr>
                <w:rFonts w:hint="default" w:ascii="宋体" w:hAnsi="宋体" w:eastAsia="宋体" w:cs="宋体"/>
                <w:color w:val="000000"/>
                <w:sz w:val="24"/>
                <w:szCs w:val="24"/>
                <w:lang w:val="en-US"/>
              </w:rPr>
              <w:t>、基因检测</w:t>
            </w:r>
          </w:p>
        </w:tc>
        <w:tc>
          <w:tcPr>
            <w:tcW w:w="20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000000"/>
                <w:kern w:val="0"/>
                <w:sz w:val="24"/>
                <w:szCs w:val="24"/>
                <w:u w:val="none"/>
                <w:lang w:val="en-US" w:eastAsia="zh-CN"/>
              </w:rPr>
              <w:t>7</w:t>
            </w:r>
            <w:r>
              <w:rPr>
                <w:rFonts w:hint="default" w:ascii="宋体" w:hAnsi="宋体" w:eastAsia="宋体" w:cs="宋体"/>
                <w:color w:val="000000"/>
                <w:kern w:val="0"/>
                <w:sz w:val="24"/>
                <w:szCs w:val="24"/>
                <w:u w:val="none"/>
                <w:lang w:val="en-US" w:eastAsia="zh-CN"/>
              </w:rPr>
              <w:t>_15</w:t>
            </w:r>
            <w:r>
              <w:rPr>
                <w:rFonts w:hint="eastAsia" w:ascii="宋体" w:hAnsi="宋体" w:eastAsia="宋体" w:cs="宋体"/>
                <w:color w:val="000000"/>
                <w:kern w:val="0"/>
                <w:sz w:val="24"/>
                <w:szCs w:val="24"/>
                <w:u w:val="none"/>
                <w:lang w:val="en-US" w:eastAsia="zh-CN"/>
              </w:rPr>
              <w:t>个工作日</w:t>
            </w:r>
          </w:p>
        </w:tc>
        <w:tc>
          <w:tcPr>
            <w:tcW w:w="1920" w:type="dxa"/>
            <w:vMerge w:val="continue"/>
            <w:tcBorders>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color w:val="auto"/>
                <w:kern w:val="0"/>
                <w:sz w:val="24"/>
                <w:szCs w:val="24"/>
                <w:u w:val="single"/>
              </w:rPr>
            </w:pPr>
          </w:p>
        </w:tc>
        <w:tc>
          <w:tcPr>
            <w:tcW w:w="1438" w:type="dxa"/>
            <w:vMerge w:val="continue"/>
            <w:tcBorders>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color w:val="auto"/>
                <w:kern w:val="0"/>
                <w:sz w:val="24"/>
                <w:szCs w:val="24"/>
                <w:u w:val="single"/>
              </w:rPr>
            </w:pPr>
          </w:p>
        </w:tc>
      </w:tr>
    </w:tbl>
    <w:p>
      <w:pPr>
        <w:numPr>
          <w:ilvl w:val="0"/>
          <w:numId w:val="0"/>
        </w:numPr>
        <w:spacing w:line="440" w:lineRule="exact"/>
        <w:ind w:leftChars="0"/>
        <w:rPr>
          <w:rFonts w:hint="eastAsia" w:ascii="Times New Roman" w:hAnsi="Times New Roman" w:eastAsia="宋体"/>
          <w:kern w:val="0"/>
          <w:sz w:val="24"/>
          <w:lang w:val="en-US"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23</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8</w:t>
      </w:r>
      <w:r>
        <w:rPr>
          <w:rFonts w:hint="eastAsia" w:ascii="Times New Roman" w:hAnsi="Times New Roman"/>
          <w:sz w:val="24"/>
        </w:rPr>
        <w:t>月</w:t>
      </w:r>
      <w:r>
        <w:rPr>
          <w:rFonts w:hint="eastAsia" w:ascii="Times New Roman" w:hAnsi="Times New Roman"/>
          <w:sz w:val="24"/>
          <w:lang w:val="en-US" w:eastAsia="zh-CN"/>
        </w:rPr>
        <w:t>25</w:t>
      </w:r>
      <w:r>
        <w:rPr>
          <w:rFonts w:hint="eastAsia" w:ascii="Times New Roman" w:hAnsi="Times New Roman"/>
          <w:sz w:val="24"/>
        </w:rPr>
        <w:t>日8</w:t>
      </w:r>
      <w:r>
        <w:rPr>
          <w:rFonts w:hint="eastAsia" w:ascii="Times New Roman" w:hAnsi="Times New Roman"/>
          <w:sz w:val="24"/>
          <w:lang w:eastAsia="zh-CN"/>
        </w:rPr>
        <w:t>：</w:t>
      </w:r>
      <w:r>
        <w:rPr>
          <w:rFonts w:ascii="Times New Roman" w:hAnsi="Times New Roman"/>
          <w:sz w:val="24"/>
        </w:rPr>
        <w:t>00～12</w:t>
      </w:r>
      <w:r>
        <w:rPr>
          <w:rFonts w:hint="eastAsia" w:ascii="Times New Roman" w:hAnsi="Times New Roman"/>
          <w:sz w:val="24"/>
          <w:lang w:eastAsia="zh-CN"/>
        </w:rPr>
        <w:t>：</w:t>
      </w:r>
      <w:r>
        <w:rPr>
          <w:rFonts w:ascii="Times New Roman" w:hAnsi="Times New Roman"/>
          <w:sz w:val="24"/>
        </w:rPr>
        <w:t>00、1</w:t>
      </w:r>
      <w:r>
        <w:rPr>
          <w:rFonts w:hint="eastAsia" w:ascii="Times New Roman" w:hAnsi="Times New Roman"/>
          <w:sz w:val="24"/>
        </w:rPr>
        <w:t>4</w:t>
      </w:r>
      <w:r>
        <w:rPr>
          <w:rFonts w:hint="eastAsia" w:ascii="Times New Roman" w:hAnsi="Times New Roman"/>
          <w:sz w:val="24"/>
          <w:lang w:eastAsia="zh-CN"/>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30</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2：0</w:t>
      </w:r>
      <w:r>
        <w:rPr>
          <w:rFonts w:ascii="Times New Roman" w:hAnsi="Times New Roman"/>
          <w:kern w:val="0"/>
          <w:sz w:val="24"/>
        </w:rPr>
        <w:t>0（北京时间）。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w:t>
      </w:r>
      <w:r>
        <w:rPr>
          <w:rFonts w:hint="eastAsia" w:ascii="Times New Roman" w:hAnsi="Times New Roman"/>
          <w:b w:val="0"/>
          <w:bCs/>
          <w:sz w:val="24"/>
          <w:lang w:val="en-US" w:eastAsia="zh-CN"/>
        </w:rPr>
        <w:t>23</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31</w:t>
      </w:r>
      <w:r>
        <w:rPr>
          <w:rFonts w:ascii="Times New Roman" w:hAnsi="Times New Roman"/>
          <w:b w:val="0"/>
          <w:bCs/>
          <w:kern w:val="0"/>
          <w:sz w:val="24"/>
        </w:rPr>
        <w:t>日1</w:t>
      </w:r>
      <w:r>
        <w:rPr>
          <w:rFonts w:hint="eastAsia" w:ascii="Times New Roman" w:hAnsi="Times New Roman"/>
          <w:b w:val="0"/>
          <w:bCs/>
          <w:kern w:val="0"/>
          <w:sz w:val="24"/>
          <w:lang w:val="en-US" w:eastAsia="zh-CN"/>
        </w:rPr>
        <w:t>5：0</w:t>
      </w:r>
      <w:r>
        <w:rPr>
          <w:rFonts w:ascii="Times New Roman" w:hAnsi="Times New Roman"/>
          <w:b w:val="0"/>
          <w:bCs/>
          <w:kern w:val="0"/>
          <w:sz w:val="24"/>
        </w:rPr>
        <w:t>0（北京时间）。</w:t>
      </w:r>
    </w:p>
    <w:p>
      <w:pPr>
        <w:spacing w:line="440" w:lineRule="exact"/>
        <w:rPr>
          <w:rFonts w:ascii="Times New Roman" w:hAnsi="Times New Roman"/>
          <w:b w:val="0"/>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（供应商不到现场）</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hint="eastAsia" w:ascii="Times New Roman" w:hAnsi="Times New Roman"/>
          <w:b/>
          <w:bCs/>
          <w:sz w:val="24"/>
        </w:rPr>
      </w:pPr>
      <w:r>
        <w:rPr>
          <w:rFonts w:hint="eastAsia" w:ascii="Times New Roman" w:hAnsi="Times New Roman"/>
          <w:b/>
          <w:bCs/>
          <w:sz w:val="24"/>
        </w:rPr>
        <w:t>九、比选文件详见附件</w:t>
      </w:r>
    </w:p>
    <w:p>
      <w:pPr>
        <w:spacing w:line="440" w:lineRule="exact"/>
        <w:jc w:val="left"/>
        <w:rPr>
          <w:rFonts w:hint="default"/>
          <w:b/>
          <w:bCs/>
          <w:sz w:val="24"/>
          <w:lang w:val="en-US" w:eastAsia="zh-CN"/>
        </w:rPr>
      </w:pPr>
      <w:r>
        <w:rPr>
          <w:rFonts w:hint="eastAsia"/>
          <w:b/>
          <w:bCs/>
          <w:sz w:val="24"/>
          <w:lang w:eastAsia="zh-CN"/>
        </w:rPr>
        <w:t>十、项目咨询：杨老师</w:t>
      </w:r>
      <w:r>
        <w:rPr>
          <w:rFonts w:hint="eastAsia"/>
          <w:b/>
          <w:bCs/>
          <w:sz w:val="24"/>
          <w:lang w:val="en-US" w:eastAsia="zh-CN"/>
        </w:rPr>
        <w:t>-15808168363</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ascii="Times New Roman" w:hAnsi="Times New Roman"/>
          <w:b w:val="0"/>
          <w:bCs/>
          <w:kern w:val="0"/>
          <w:sz w:val="24"/>
        </w:rPr>
      </w:pPr>
      <w:r>
        <w:rPr>
          <w:rFonts w:ascii="Times New Roman" w:hAnsi="Times New Roman"/>
          <w:b w:val="0"/>
          <w:bCs/>
          <w:kern w:val="0"/>
          <w:sz w:val="24"/>
        </w:rPr>
        <w:t>202</w:t>
      </w:r>
      <w:r>
        <w:rPr>
          <w:rFonts w:hint="eastAsia" w:ascii="Times New Roman" w:hAnsi="Times New Roman"/>
          <w:b w:val="0"/>
          <w:bCs/>
          <w:kern w:val="0"/>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22</w:t>
      </w:r>
      <w:r>
        <w:rPr>
          <w:rFonts w:ascii="Times New Roman" w:hAnsi="Times New Roman"/>
          <w:b w:val="0"/>
          <w:bCs/>
          <w:kern w:val="0"/>
          <w:sz w:val="24"/>
        </w:rPr>
        <w:t>日</w:t>
      </w: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宋体" w:hAnsi="宋体" w:eastAsia="宋体" w:cs="宋体"/>
          <w:b/>
          <w:bCs/>
          <w:sz w:val="32"/>
          <w:szCs w:val="32"/>
        </w:rPr>
      </w:pPr>
      <w:r>
        <w:rPr>
          <w:rFonts w:hint="eastAsia" w:ascii="宋体" w:hAnsi="宋体" w:eastAsia="宋体" w:cs="宋体"/>
          <w:b/>
          <w:bCs/>
          <w:sz w:val="32"/>
          <w:szCs w:val="32"/>
        </w:rPr>
        <w:t>三台县人民医院</w:t>
      </w:r>
    </w:p>
    <w:p>
      <w:pPr>
        <w:spacing w:line="500" w:lineRule="exact"/>
        <w:jc w:val="center"/>
        <w:rPr>
          <w:rFonts w:hint="eastAsia" w:ascii="宋体" w:hAnsi="宋体" w:eastAsia="宋体" w:cs="宋体"/>
          <w:b/>
          <w:bCs/>
          <w:sz w:val="32"/>
          <w:szCs w:val="32"/>
          <w:lang w:eastAsia="zh-CN"/>
        </w:rPr>
      </w:pPr>
      <w:r>
        <w:rPr>
          <w:rFonts w:hint="eastAsia" w:ascii="宋体" w:hAnsi="宋体" w:eastAsia="宋体" w:cs="宋体"/>
          <w:b/>
          <w:bCs/>
          <w:sz w:val="32"/>
          <w:szCs w:val="32"/>
        </w:rPr>
        <w:t>关于远程疑难病理会诊及病理外送项目采购</w:t>
      </w:r>
      <w:r>
        <w:rPr>
          <w:rFonts w:hint="eastAsia" w:ascii="宋体" w:hAnsi="宋体" w:eastAsia="宋体" w:cs="宋体"/>
          <w:b/>
          <w:bCs/>
          <w:sz w:val="32"/>
          <w:szCs w:val="32"/>
          <w:lang w:eastAsia="zh-CN"/>
        </w:rPr>
        <w:t>文件</w:t>
      </w:r>
    </w:p>
    <w:p>
      <w:pPr>
        <w:pStyle w:val="2"/>
        <w:rPr>
          <w:rFonts w:hint="eastAsia"/>
        </w:rPr>
      </w:pP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根据医院工作需要，拟于第三方检验机构合作，对远程疑难病理会诊及病理外送。欢迎符合相应要求的供应商参加，具体事项如下：</w:t>
      </w:r>
    </w:p>
    <w:p>
      <w:pPr>
        <w:keepNext w:val="0"/>
        <w:keepLines w:val="0"/>
        <w:pageBreakBefore w:val="0"/>
        <w:tabs>
          <w:tab w:val="left" w:pos="393"/>
        </w:tabs>
        <w:kinsoku/>
        <w:wordWrap/>
        <w:overflowPunct/>
        <w:topLinePunct w:val="0"/>
        <w:autoSpaceDE/>
        <w:autoSpaceDN/>
        <w:bidi w:val="0"/>
        <w:adjustRightInd/>
        <w:snapToGrid/>
        <w:spacing w:line="240" w:lineRule="auto"/>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一、项目内容：</w:t>
      </w:r>
    </w:p>
    <w:tbl>
      <w:tblPr>
        <w:tblStyle w:val="10"/>
        <w:tblW w:w="8859" w:type="dxa"/>
        <w:jc w:val="center"/>
        <w:tblLayout w:type="fixed"/>
        <w:tblCellMar>
          <w:top w:w="0" w:type="dxa"/>
          <w:left w:w="0" w:type="dxa"/>
          <w:bottom w:w="0" w:type="dxa"/>
          <w:right w:w="0" w:type="dxa"/>
        </w:tblCellMar>
      </w:tblPr>
      <w:tblGrid>
        <w:gridCol w:w="515"/>
        <w:gridCol w:w="5200"/>
        <w:gridCol w:w="1560"/>
        <w:gridCol w:w="930"/>
        <w:gridCol w:w="654"/>
      </w:tblGrid>
      <w:tr>
        <w:tblPrEx>
          <w:tblCellMar>
            <w:top w:w="0" w:type="dxa"/>
            <w:left w:w="0" w:type="dxa"/>
            <w:bottom w:w="0" w:type="dxa"/>
            <w:right w:w="0" w:type="dxa"/>
          </w:tblCellMar>
        </w:tblPrEx>
        <w:trPr>
          <w:trHeight w:val="237"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项目</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出报告时限</w:t>
            </w:r>
          </w:p>
        </w:tc>
        <w:tc>
          <w:tcPr>
            <w:tcW w:w="93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限价</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（万元）</w:t>
            </w:r>
          </w:p>
        </w:tc>
        <w:tc>
          <w:tcPr>
            <w:tcW w:w="6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备注</w:t>
            </w: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疑难病例会诊</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u w:val="none"/>
              </w:rPr>
              <w:t>2</w:t>
            </w:r>
            <w:r>
              <w:rPr>
                <w:rFonts w:hint="eastAsia" w:ascii="宋体" w:hAnsi="宋体" w:eastAsia="宋体" w:cs="宋体"/>
                <w:color w:val="000000"/>
                <w:kern w:val="0"/>
                <w:sz w:val="24"/>
                <w:szCs w:val="24"/>
              </w:rPr>
              <w:t>个工作日</w:t>
            </w:r>
          </w:p>
        </w:tc>
        <w:tc>
          <w:tcPr>
            <w:tcW w:w="930" w:type="dxa"/>
            <w:vMerge w:val="restart"/>
            <w:tcBorders>
              <w:top w:val="single" w:color="000000" w:sz="4" w:space="0"/>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u w:val="none"/>
                <w:lang w:val="en-US" w:eastAsia="zh-CN"/>
              </w:rPr>
              <w:t>20.00</w:t>
            </w:r>
          </w:p>
        </w:tc>
        <w:tc>
          <w:tcPr>
            <w:tcW w:w="654" w:type="dxa"/>
            <w:vMerge w:val="restart"/>
            <w:tcBorders>
              <w:top w:val="single" w:color="000000" w:sz="4" w:space="0"/>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本项目采购单价</w:t>
            </w: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外送免疫组化检测</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u w:val="none"/>
              </w:rPr>
              <w:t>7</w:t>
            </w:r>
            <w:r>
              <w:rPr>
                <w:rFonts w:hint="eastAsia" w:ascii="宋体" w:hAnsi="宋体" w:eastAsia="宋体" w:cs="宋体"/>
                <w:color w:val="000000"/>
                <w:kern w:val="0"/>
                <w:sz w:val="24"/>
                <w:szCs w:val="24"/>
              </w:rPr>
              <w:t>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PDL1（22C3）全自动免疫组化</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肺癌精准诊疗Mini套餐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肺癌精准用药基因检测20基因</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肺癌基因热点突变和融合26基因</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10个工作日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甲状腺癌精准诊疗Mini套餐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胃肠间质瘤精准诊疗Mini套餐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胃肠道肿瘤易感基因检测套餐19基因</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15-30天</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肠癌精准诊疗Mini套餐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微卫星序列不稳定性检测</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子宫内膜癌精准诊疗Mini套餐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13</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黑色素瘤精准诊疗Mini套餐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胰腺癌精准诊疗Mini套餐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乳腺癌精准诊疗Mini套餐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乳腺癌/卵巢癌易感基因检测套餐21基因</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15-30天</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乳腺癌复发风险21基因检测</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10天</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HER-2/neu基因扩增检测（FISH）</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19</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膀胱癌精准诊疗Mini套餐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卵巢癌精准诊疗Mini套餐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21</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胃/食管癌精准诊疗Mini套餐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22</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胆管/肝癌精准诊疗Mini套餐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前列腺癌精准诊疗Mini套餐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24</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软组织</w:t>
            </w:r>
            <w:r>
              <w:rPr>
                <w:rFonts w:hint="eastAsia" w:ascii="宋体" w:hAnsi="宋体" w:eastAsia="宋体" w:cs="宋体"/>
                <w:color w:val="000000"/>
                <w:sz w:val="24"/>
                <w:szCs w:val="24"/>
                <w:lang w:val="en-US" w:eastAsia="zh-CN"/>
              </w:rPr>
              <w:t>和骨肿瘤靶向RNAseq</w:t>
            </w:r>
            <w:r>
              <w:rPr>
                <w:rFonts w:hint="eastAsia" w:ascii="宋体" w:hAnsi="宋体" w:eastAsia="宋体" w:cs="宋体"/>
                <w:color w:val="000000"/>
                <w:sz w:val="24"/>
                <w:szCs w:val="24"/>
              </w:rPr>
              <w:t>融合基因检测(FFPE)</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7-15天</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25</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IDH1&amp;2基因突变热点检测(测法,FFPE)</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1p/19q染色体缺失检测(FISH,组织）</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bl>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二、项目要求</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1、服务要求：根据采购人临床业务需求提供相应检查项目服务，搭建基于数字切片的远程会诊平台并提供相应设备，提供其对应的查询服务及快递费用。</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2、服务响应：供应商周一至周五接收到上传病例2个工作日内出具病理报告/初步病理报告；如需加做免疫组化检测，收到标本5个工作日内出具病理报告，报告格式符合行业要求。</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3、质量保障：中标人保证会诊平台资质流程合法合规，确保病理会诊结果的有效性，做好病理报告质量控制。</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4、咨询服务：中标人需提供服务电话、网络查询、微信查询等多种渠道供采购人相关临床部门进行业务咨询、报告查询等功能。</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★三、其他要求：</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1、根据绵阳市物价管理部门相关规定医疗机构收费标准制定及调整收费价格。</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t>2、后续如临床需要开展新的外送委托检验项目，按照《绵阳市医疗服务价格》（2004年）、绵阳市医疗服务价格绵价费【2004】141号、绵市发改收费[2016]384号、绵市发改收费〔2017〕71号附件修订第一批、绵市发改收费〔2017〕72号附件修订第二批、</w:t>
      </w:r>
      <w:r>
        <w:rPr>
          <w:rFonts w:hint="eastAsia" w:ascii="宋体" w:hAnsi="宋体" w:eastAsia="宋体" w:cs="宋体"/>
          <w:sz w:val="24"/>
          <w:szCs w:val="24"/>
        </w:rPr>
        <w:t>绵阳市2018年第一批新增医疗服务价格表等文件以及四川省或绵阳市医疗保障局、四川省或绵阳市卫生健康委员会等主管部门制定的最新医疗服务价格文件中与医院对应等级的收费标准进行增加，双方结算价格按照中标下浮率结算。如绵阳市三级甲等医院收费标准有最新标准，按最新标准执行。</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3、投标人报价须根据绵阳市医疗服务价格规定在绵阳市三级甲等医院收费标准基础上统一下浮。</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注：文件中标注“★”符号的，为本项目实质性要求，如不满足，作无效投标处理。</w:t>
      </w:r>
    </w:p>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★四、商务要求：</w:t>
      </w:r>
    </w:p>
    <w:p>
      <w:pPr>
        <w:pStyle w:val="2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1、服务期限：合同一年，</w:t>
      </w:r>
      <w:r>
        <w:rPr>
          <w:rFonts w:hint="eastAsia" w:ascii="宋体" w:hAnsi="宋体" w:cs="宋体"/>
          <w:sz w:val="24"/>
          <w:szCs w:val="24"/>
          <w:lang w:eastAsia="zh-CN"/>
        </w:rPr>
        <w:t>最高限价</w:t>
      </w:r>
      <w:r>
        <w:rPr>
          <w:rFonts w:hint="eastAsia" w:ascii="宋体" w:hAnsi="宋体" w:eastAsia="宋体" w:cs="宋体"/>
          <w:sz w:val="24"/>
          <w:szCs w:val="24"/>
          <w:lang w:val="en-US" w:eastAsia="zh-CN"/>
        </w:rPr>
        <w:t>2</w:t>
      </w:r>
      <w:r>
        <w:rPr>
          <w:rFonts w:hint="eastAsia" w:ascii="宋体" w:hAnsi="宋体" w:eastAsia="宋体" w:cs="宋体"/>
          <w:sz w:val="24"/>
          <w:szCs w:val="24"/>
        </w:rPr>
        <w:t>0万元。</w:t>
      </w:r>
    </w:p>
    <w:p>
      <w:pPr>
        <w:pStyle w:val="2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2、服务地点：采购人指定地点。</w:t>
      </w:r>
    </w:p>
    <w:p>
      <w:pPr>
        <w:pStyle w:val="2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结算付款方式：按月度支付，采购人根据成交供应商当月检验项目数量、绵阳市医疗服务物价管理部门规定的医院收费标准和成交供应商下浮率报价核算，成交供应商须按照财政支付要求提供相关凭证（如增值税发票、送检清单等），采购人将按照财政支付流程进行结算支付。</w:t>
      </w:r>
    </w:p>
    <w:p>
      <w:pPr>
        <w:pStyle w:val="2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3、履约验收方式：严格按照</w:t>
      </w:r>
      <w:r>
        <w:rPr>
          <w:rFonts w:hint="eastAsia" w:ascii="宋体" w:hAnsi="宋体" w:eastAsia="宋体" w:cs="宋体"/>
          <w:sz w:val="24"/>
          <w:szCs w:val="24"/>
          <w:lang w:eastAsia="zh-CN"/>
        </w:rPr>
        <w:t>国家相关法律法规</w:t>
      </w:r>
      <w:r>
        <w:rPr>
          <w:rFonts w:hint="eastAsia" w:ascii="宋体" w:hAnsi="宋体" w:eastAsia="宋体" w:cs="宋体"/>
          <w:sz w:val="24"/>
          <w:szCs w:val="24"/>
        </w:rPr>
        <w:t>要求、采购文件要求、成交供应商响应文件内容、采购合同约定内容进行验收。</w:t>
      </w:r>
    </w:p>
    <w:p>
      <w:pPr>
        <w:pStyle w:val="2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报价说明：根据绵阳市物价局或绵阳市医疗保障局或绵阳市卫生健康委员会等相关部门制定的绵阳市医疗服务价格（含调整及新增）中与医院对应等级的收费标准，供应商在此收费标准的基础上统一报下浮比例；结算金额=收费标准*（1-下浮比例）*检验项目数量；在年预算额度内提供检验服务。（备注：供应商所报的价格须包括本服务项目相关的所有成本、费用、相关税费和合理利润等其他相关费用。）</w:t>
      </w:r>
    </w:p>
    <w:p>
      <w:pPr>
        <w:pStyle w:val="2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5、其他：未尽事宜，以合同约定为准。</w:t>
      </w:r>
    </w:p>
    <w:p>
      <w:pPr>
        <w:pStyle w:val="2"/>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cs="宋体"/>
          <w:b/>
          <w:bCs/>
          <w:sz w:val="24"/>
          <w:szCs w:val="24"/>
          <w:lang w:eastAsia="zh-CN"/>
        </w:rPr>
        <w:t>商务要求为</w:t>
      </w:r>
      <w:r>
        <w:rPr>
          <w:rFonts w:hint="eastAsia" w:ascii="宋体" w:hAnsi="宋体" w:eastAsia="宋体" w:cs="宋体"/>
          <w:b/>
          <w:bCs/>
          <w:sz w:val="24"/>
          <w:szCs w:val="24"/>
        </w:rPr>
        <w:t>实质性要求，不满足作无效投标处理。</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五、供应商资格</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具有独立承担民事责任的能力</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具有良好的商业信誉和健全的财务会计制度</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具有履行合同所必需的设备和专业技术能力</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有依法缴纳税收和社会保障资金的良好记录</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参加本次政府采购活动前三年内，在经营活动中没有重大违法记录</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本项目参加政府采购活动的投标人、法定代表人(非法人负责人、自然人本人)在前3年内不得具有行贿犯罪记录</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本项目的特定资格要求：投标人具有有效的《中华人民共和国医疗机构执业许可证》。</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六、报价须知</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报名方式及截止时间：</w:t>
      </w:r>
      <w:r>
        <w:rPr>
          <w:rFonts w:hint="eastAsia" w:ascii="宋体" w:hAnsi="宋体" w:eastAsia="宋体" w:cs="宋体"/>
          <w:b w:val="0"/>
          <w:bCs w:val="0"/>
          <w:sz w:val="24"/>
          <w:szCs w:val="24"/>
        </w:rPr>
        <w:t>请潜在比选人致电三台县人民医院采购办报名，报名电话：0816-5222252，联系人：云老师、邹老师；报名时间：</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23</w:t>
      </w:r>
      <w:r>
        <w:rPr>
          <w:rFonts w:hint="eastAsia" w:ascii="宋体" w:hAnsi="宋体" w:eastAsia="宋体" w:cs="宋体"/>
          <w:sz w:val="24"/>
          <w:szCs w:val="24"/>
        </w:rPr>
        <w:t>日至202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25</w:t>
      </w:r>
      <w:r>
        <w:rPr>
          <w:rFonts w:hint="eastAsia" w:ascii="宋体" w:hAnsi="宋体" w:eastAsia="宋体" w:cs="宋体"/>
          <w:sz w:val="24"/>
          <w:szCs w:val="24"/>
        </w:rPr>
        <w:t>日8</w:t>
      </w:r>
      <w:r>
        <w:rPr>
          <w:rFonts w:hint="eastAsia" w:ascii="宋体" w:hAnsi="宋体" w:eastAsia="宋体" w:cs="宋体"/>
          <w:sz w:val="24"/>
          <w:szCs w:val="24"/>
          <w:lang w:eastAsia="zh-CN"/>
        </w:rPr>
        <w:t>：</w:t>
      </w:r>
      <w:r>
        <w:rPr>
          <w:rFonts w:hint="eastAsia" w:ascii="宋体" w:hAnsi="宋体" w:eastAsia="宋体" w:cs="宋体"/>
          <w:sz w:val="24"/>
          <w:szCs w:val="24"/>
        </w:rPr>
        <w:t>00～12</w:t>
      </w:r>
      <w:r>
        <w:rPr>
          <w:rFonts w:hint="eastAsia" w:ascii="宋体" w:hAnsi="宋体" w:eastAsia="宋体" w:cs="宋体"/>
          <w:sz w:val="24"/>
          <w:szCs w:val="24"/>
          <w:lang w:eastAsia="zh-CN"/>
        </w:rPr>
        <w:t>：</w:t>
      </w:r>
      <w:r>
        <w:rPr>
          <w:rFonts w:hint="eastAsia" w:ascii="宋体" w:hAnsi="宋体" w:eastAsia="宋体" w:cs="宋体"/>
          <w:sz w:val="24"/>
          <w:szCs w:val="24"/>
        </w:rPr>
        <w:t>00、14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0～1</w:t>
      </w:r>
      <w:r>
        <w:rPr>
          <w:rFonts w:hint="eastAsia" w:ascii="宋体" w:hAnsi="宋体" w:eastAsia="宋体" w:cs="宋体"/>
          <w:sz w:val="24"/>
          <w:szCs w:val="24"/>
          <w:lang w:val="en-US" w:eastAsia="zh-CN"/>
        </w:rPr>
        <w:t>8：0</w:t>
      </w:r>
      <w:r>
        <w:rPr>
          <w:rFonts w:hint="eastAsia" w:ascii="宋体" w:hAnsi="宋体" w:eastAsia="宋体" w:cs="宋体"/>
          <w:sz w:val="24"/>
          <w:szCs w:val="24"/>
        </w:rPr>
        <w:t>0（北京时间，法定节假日除外）</w:t>
      </w:r>
      <w:r>
        <w:rPr>
          <w:rFonts w:hint="eastAsia" w:ascii="宋体" w:hAnsi="宋体" w:eastAsia="宋体" w:cs="宋体"/>
          <w:sz w:val="24"/>
          <w:szCs w:val="24"/>
          <w:lang w:eastAsia="zh-CN"/>
        </w:rPr>
        <w:t>。</w:t>
      </w:r>
    </w:p>
    <w:p>
      <w:pPr>
        <w:pStyle w:val="2"/>
        <w:keepNext w:val="0"/>
        <w:keepLines w:val="0"/>
        <w:pageBreakBefore w:val="0"/>
        <w:kinsoku/>
        <w:wordWrap/>
        <w:overflowPunct/>
        <w:topLinePunct w:val="0"/>
        <w:autoSpaceDE/>
        <w:autoSpaceDN/>
        <w:bidi w:val="0"/>
        <w:spacing w:line="400" w:lineRule="exact"/>
        <w:ind w:left="0" w:leftChars="0" w:firstLine="0" w:firstLineChars="0"/>
        <w:textAlignment w:val="auto"/>
        <w:rPr>
          <w:rFonts w:hint="eastAsia"/>
        </w:rPr>
      </w:pPr>
      <w:r>
        <w:rPr>
          <w:rFonts w:hint="eastAsia" w:ascii="Times New Roman" w:hAnsi="Times New Roman"/>
          <w:b/>
          <w:bCs/>
          <w:sz w:val="24"/>
          <w:lang w:val="en-US" w:eastAsia="zh-CN"/>
        </w:rPr>
        <w:t>2、</w:t>
      </w:r>
      <w:r>
        <w:rPr>
          <w:rFonts w:ascii="Times New Roman" w:hAnsi="Times New Roman"/>
          <w:b/>
          <w:bCs/>
          <w:sz w:val="24"/>
        </w:rPr>
        <w:t>响应文件递交截止时间：</w:t>
      </w:r>
      <w:r>
        <w:rPr>
          <w:rFonts w:ascii="Times New Roman" w:hAnsi="Times New Roman"/>
          <w:b w:val="0"/>
          <w:bCs w:val="0"/>
          <w:sz w:val="24"/>
        </w:rPr>
        <w:t>202</w:t>
      </w:r>
      <w:r>
        <w:rPr>
          <w:rFonts w:hint="eastAsia" w:ascii="Times New Roman" w:hAnsi="Times New Roman"/>
          <w:b w:val="0"/>
          <w:bCs w:val="0"/>
          <w:sz w:val="24"/>
          <w:lang w:val="en-US" w:eastAsia="zh-CN"/>
        </w:rPr>
        <w:t>3</w:t>
      </w:r>
      <w:r>
        <w:rPr>
          <w:rFonts w:ascii="Times New Roman" w:hAnsi="Times New Roman"/>
          <w:b w:val="0"/>
          <w:bCs w:val="0"/>
          <w:sz w:val="24"/>
        </w:rPr>
        <w:t>年</w:t>
      </w:r>
      <w:r>
        <w:rPr>
          <w:rFonts w:hint="eastAsia" w:ascii="Times New Roman" w:hAnsi="Times New Roman"/>
          <w:b w:val="0"/>
          <w:bCs w:val="0"/>
          <w:sz w:val="24"/>
          <w:lang w:val="en-US" w:eastAsia="zh-CN"/>
        </w:rPr>
        <w:t>8</w:t>
      </w:r>
      <w:r>
        <w:rPr>
          <w:rFonts w:ascii="Times New Roman" w:hAnsi="Times New Roman"/>
          <w:b w:val="0"/>
          <w:bCs w:val="0"/>
          <w:sz w:val="24"/>
        </w:rPr>
        <w:t>月</w:t>
      </w:r>
      <w:r>
        <w:rPr>
          <w:rFonts w:hint="eastAsia"/>
          <w:b w:val="0"/>
          <w:bCs w:val="0"/>
          <w:sz w:val="24"/>
          <w:lang w:val="en-US" w:eastAsia="zh-CN"/>
        </w:rPr>
        <w:t>30</w:t>
      </w:r>
      <w:r>
        <w:rPr>
          <w:rFonts w:ascii="Times New Roman" w:hAnsi="Times New Roman"/>
          <w:b w:val="0"/>
          <w:bCs w:val="0"/>
          <w:sz w:val="24"/>
        </w:rPr>
        <w:t>日</w:t>
      </w:r>
      <w:r>
        <w:rPr>
          <w:rFonts w:hint="eastAsia" w:ascii="Times New Roman" w:hAnsi="Times New Roman"/>
          <w:b w:val="0"/>
          <w:bCs w:val="0"/>
          <w:kern w:val="0"/>
          <w:sz w:val="24"/>
          <w:lang w:val="en-US" w:eastAsia="zh-CN"/>
        </w:rPr>
        <w:t>12：0</w:t>
      </w:r>
      <w:r>
        <w:rPr>
          <w:rFonts w:ascii="Times New Roman" w:hAnsi="Times New Roman"/>
          <w:b w:val="0"/>
          <w:bCs w:val="0"/>
          <w:kern w:val="0"/>
          <w:sz w:val="24"/>
        </w:rPr>
        <w:t>0</w:t>
      </w:r>
      <w:r>
        <w:rPr>
          <w:rFonts w:ascii="Times New Roman" w:hAnsi="Times New Roman"/>
          <w:kern w:val="0"/>
          <w:sz w:val="24"/>
        </w:rPr>
        <w:t>（北京时间）。</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递交响应文件地点、方式：</w:t>
      </w:r>
      <w:r>
        <w:rPr>
          <w:rFonts w:hint="eastAsia" w:ascii="宋体" w:hAnsi="宋体" w:eastAsia="宋体" w:cs="宋体"/>
          <w:kern w:val="0"/>
          <w:sz w:val="24"/>
          <w:szCs w:val="24"/>
        </w:rPr>
        <w:t>响应文件必须在截止时间前邮寄（顺丰快递）至三台县人民医院采购办（邹老师收，收件电话：0816-5222252）。逾期送达或密封和标注不符合比选邀请文件规定的响应文件恕不接受。本次比选只接受邮寄的</w:t>
      </w:r>
      <w:r>
        <w:rPr>
          <w:rFonts w:hint="eastAsia" w:ascii="宋体" w:hAnsi="宋体" w:eastAsia="宋体" w:cs="宋体"/>
          <w:sz w:val="24"/>
          <w:szCs w:val="24"/>
        </w:rPr>
        <w:t>响应文件</w:t>
      </w:r>
      <w:r>
        <w:rPr>
          <w:rFonts w:hint="eastAsia" w:ascii="宋体" w:hAnsi="宋体" w:eastAsia="宋体" w:cs="宋体"/>
          <w:kern w:val="0"/>
          <w:sz w:val="24"/>
          <w:szCs w:val="24"/>
        </w:rPr>
        <w:t>，邮件封面注明</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名称和包号。</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、响应文件</w:t>
      </w:r>
      <w:r>
        <w:rPr>
          <w:rFonts w:hint="eastAsia" w:ascii="宋体" w:hAnsi="宋体" w:eastAsia="宋体" w:cs="宋体"/>
          <w:b/>
          <w:bCs/>
          <w:sz w:val="24"/>
          <w:szCs w:val="24"/>
        </w:rPr>
        <w:t>内容：</w:t>
      </w:r>
      <w:r>
        <w:rPr>
          <w:rFonts w:hint="eastAsia" w:ascii="宋体" w:hAnsi="宋体" w:eastAsia="宋体" w:cs="宋体"/>
          <w:sz w:val="24"/>
          <w:szCs w:val="24"/>
        </w:rPr>
        <w:t>报价单（含报价人完成本项目所需的一切费用）、供应商资质、业绩、服务方案等资料</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31</w:t>
      </w:r>
      <w:r>
        <w:rPr>
          <w:rFonts w:ascii="Times New Roman" w:hAnsi="Times New Roman"/>
          <w:b w:val="0"/>
          <w:bCs/>
          <w:kern w:val="0"/>
          <w:sz w:val="24"/>
        </w:rPr>
        <w:t>日1</w:t>
      </w:r>
      <w:r>
        <w:rPr>
          <w:rFonts w:hint="eastAsia" w:ascii="Times New Roman" w:hAnsi="Times New Roman"/>
          <w:b w:val="0"/>
          <w:bCs/>
          <w:kern w:val="0"/>
          <w:sz w:val="24"/>
          <w:lang w:val="en-US" w:eastAsia="zh-CN"/>
        </w:rPr>
        <w:t>5：0</w:t>
      </w:r>
      <w:r>
        <w:rPr>
          <w:rFonts w:ascii="Times New Roman" w:hAnsi="Times New Roman"/>
          <w:b w:val="0"/>
          <w:bCs/>
          <w:kern w:val="0"/>
          <w:sz w:val="24"/>
        </w:rPr>
        <w:t>0（北京时间）。</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rPr>
        <w:t>6.比选地点：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（供应商不到现场）</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rPr>
        <w:t>7.定标方式：</w:t>
      </w:r>
      <w:r>
        <w:rPr>
          <w:rFonts w:hint="eastAsia" w:ascii="宋体" w:hAnsi="宋体" w:eastAsia="宋体" w:cs="宋体"/>
          <w:sz w:val="24"/>
          <w:szCs w:val="24"/>
        </w:rPr>
        <w:t>一次报价，综合评分。</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rPr>
        <w:t>七、结果公告：</w:t>
      </w:r>
      <w:r>
        <w:rPr>
          <w:rFonts w:hint="eastAsia" w:ascii="宋体" w:hAnsi="宋体" w:eastAsia="宋体" w:cs="宋体"/>
          <w:sz w:val="24"/>
          <w:szCs w:val="24"/>
        </w:rPr>
        <w:t>三台县人民医院官网。</w:t>
      </w:r>
    </w:p>
    <w:p>
      <w:pPr>
        <w:keepNext w:val="0"/>
        <w:keepLines w:val="0"/>
        <w:pageBreakBefore w:val="0"/>
        <w:kinsoku/>
        <w:wordWrap/>
        <w:overflowPunct/>
        <w:topLinePunct w:val="0"/>
        <w:autoSpaceDE/>
        <w:autoSpaceDN/>
        <w:bidi w:val="0"/>
        <w:spacing w:line="400" w:lineRule="exact"/>
        <w:ind w:left="0" w:leftChars="0" w:firstLine="0" w:firstLineChars="0"/>
        <w:jc w:val="left"/>
        <w:textAlignment w:val="auto"/>
        <w:rPr>
          <w:rFonts w:ascii="Times New Roman" w:hAnsi="Times New Roman"/>
          <w:bCs/>
          <w:color w:val="auto"/>
          <w:kern w:val="0"/>
          <w:sz w:val="24"/>
          <w:szCs w:val="24"/>
        </w:rPr>
      </w:pPr>
      <w:r>
        <w:rPr>
          <w:rFonts w:hint="eastAsia" w:ascii="Times New Roman" w:hAnsi="Times New Roman"/>
          <w:b/>
          <w:bCs/>
          <w:color w:val="auto"/>
          <w:kern w:val="0"/>
          <w:sz w:val="24"/>
          <w:szCs w:val="24"/>
          <w:lang w:eastAsia="zh-CN"/>
        </w:rPr>
        <w:t>八、</w:t>
      </w:r>
      <w:r>
        <w:rPr>
          <w:rFonts w:hint="eastAsia" w:ascii="Times New Roman" w:hAnsi="Times New Roman"/>
          <w:b/>
          <w:bCs/>
          <w:color w:val="auto"/>
          <w:kern w:val="0"/>
          <w:sz w:val="24"/>
          <w:szCs w:val="24"/>
        </w:rPr>
        <w:t>评标与定标</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hint="eastAsia" w:ascii="Times New Roman" w:hAnsi="Times New Roman"/>
          <w:bCs/>
          <w:color w:val="auto"/>
          <w:kern w:val="0"/>
          <w:sz w:val="24"/>
          <w:szCs w:val="20"/>
          <w:lang w:eastAsia="zh-CN"/>
        </w:rPr>
        <w:t>评审小组</w:t>
      </w:r>
      <w:r>
        <w:rPr>
          <w:rFonts w:ascii="Times New Roman" w:hAnsi="Times New Roman"/>
          <w:bCs/>
          <w:color w:val="auto"/>
          <w:kern w:val="0"/>
          <w:sz w:val="24"/>
          <w:szCs w:val="20"/>
        </w:rPr>
        <w:t>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评分细则：</w:t>
      </w:r>
    </w:p>
    <w:tbl>
      <w:tblPr>
        <w:tblStyle w:val="10"/>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855"/>
        <w:gridCol w:w="480"/>
        <w:gridCol w:w="565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Cs w:val="21"/>
              </w:rPr>
            </w:pPr>
            <w:r>
              <w:rPr>
                <w:rFonts w:hint="eastAsia" w:ascii="宋体" w:hAnsi="宋体"/>
                <w:b/>
                <w:bCs/>
                <w:szCs w:val="21"/>
              </w:rPr>
              <w:t>序号</w:t>
            </w:r>
          </w:p>
        </w:tc>
        <w:tc>
          <w:tcPr>
            <w:tcW w:w="85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Cs w:val="21"/>
              </w:rPr>
            </w:pPr>
            <w:r>
              <w:rPr>
                <w:rFonts w:hint="eastAsia" w:ascii="宋体" w:hAnsi="宋体"/>
                <w:b/>
                <w:bCs/>
                <w:szCs w:val="21"/>
              </w:rPr>
              <w:t>评分因素及权重</w:t>
            </w:r>
          </w:p>
        </w:tc>
        <w:tc>
          <w:tcPr>
            <w:tcW w:w="48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Cs w:val="21"/>
              </w:rPr>
            </w:pPr>
            <w:r>
              <w:rPr>
                <w:rFonts w:hint="eastAsia" w:ascii="宋体" w:hAnsi="宋体"/>
                <w:b/>
                <w:bCs/>
                <w:szCs w:val="21"/>
              </w:rPr>
              <w:t>分值</w:t>
            </w:r>
          </w:p>
        </w:tc>
        <w:tc>
          <w:tcPr>
            <w:tcW w:w="565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Cs w:val="21"/>
              </w:rPr>
            </w:pPr>
            <w:r>
              <w:rPr>
                <w:rFonts w:hint="eastAsia" w:ascii="宋体" w:hAnsi="宋体"/>
                <w:b/>
                <w:bCs/>
                <w:szCs w:val="21"/>
              </w:rPr>
              <w:t>评分标准</w:t>
            </w:r>
          </w:p>
        </w:tc>
        <w:tc>
          <w:tcPr>
            <w:tcW w:w="14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Cs w:val="21"/>
              </w:rPr>
            </w:pPr>
            <w:r>
              <w:rPr>
                <w:rFonts w:hint="eastAsia" w:ascii="宋体" w:hAnsi="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szCs w:val="21"/>
              </w:rPr>
            </w:pPr>
            <w:r>
              <w:rPr>
                <w:rFonts w:ascii="宋体" w:hAnsi="宋体"/>
                <w:bCs/>
                <w:color w:val="000000"/>
                <w:szCs w:val="21"/>
              </w:rPr>
              <w:t>1</w:t>
            </w:r>
          </w:p>
        </w:tc>
        <w:tc>
          <w:tcPr>
            <w:tcW w:w="85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000000"/>
              </w:rPr>
            </w:pPr>
            <w:r>
              <w:rPr>
                <w:rFonts w:hint="eastAsia"/>
                <w:color w:val="000000"/>
              </w:rPr>
              <w:t>报价</w:t>
            </w:r>
          </w:p>
          <w:p>
            <w:pPr>
              <w:pStyle w:val="2"/>
              <w:jc w:val="center"/>
              <w:rPr>
                <w:rFonts w:hint="default" w:eastAsia="宋体"/>
                <w:color w:val="000000"/>
                <w:lang w:val="en-US" w:eastAsia="zh-CN"/>
              </w:rPr>
            </w:pPr>
            <w:r>
              <w:rPr>
                <w:rFonts w:hint="eastAsia" w:ascii="宋体" w:hAnsi="宋体"/>
                <w:bCs/>
                <w:color w:val="000000"/>
                <w:szCs w:val="21"/>
                <w:lang w:val="en-US" w:eastAsia="zh-CN"/>
              </w:rPr>
              <w:t>15%</w:t>
            </w:r>
          </w:p>
        </w:tc>
        <w:tc>
          <w:tcPr>
            <w:tcW w:w="4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val="en-US" w:eastAsia="zh-CN"/>
              </w:rPr>
            </w:pPr>
            <w:r>
              <w:rPr>
                <w:rFonts w:ascii="宋体" w:hAnsi="宋体"/>
                <w:bCs/>
                <w:color w:val="auto"/>
                <w:szCs w:val="21"/>
              </w:rPr>
              <w:t>1</w:t>
            </w:r>
            <w:r>
              <w:rPr>
                <w:rFonts w:hint="eastAsia" w:ascii="宋体" w:hAnsi="宋体"/>
                <w:bCs/>
                <w:color w:val="auto"/>
                <w:szCs w:val="21"/>
                <w:lang w:val="en-US" w:eastAsia="zh-CN"/>
              </w:rPr>
              <w:t>5分</w:t>
            </w:r>
          </w:p>
        </w:tc>
        <w:tc>
          <w:tcPr>
            <w:tcW w:w="565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报价参照绵阳市医疗服务价格规定在绵阳市三级甲等</w:t>
            </w:r>
            <w:r>
              <w:rPr>
                <w:rFonts w:hint="eastAsia" w:ascii="宋体" w:hAnsi="宋体"/>
                <w:color w:val="auto"/>
                <w:szCs w:val="21"/>
                <w:lang w:eastAsia="zh-CN"/>
              </w:rPr>
              <w:t>综合</w:t>
            </w:r>
            <w:r>
              <w:rPr>
                <w:rFonts w:hint="eastAsia" w:ascii="宋体" w:hAnsi="宋体"/>
                <w:color w:val="auto"/>
                <w:szCs w:val="21"/>
              </w:rPr>
              <w:t>医院收费标准基础上报统一下浮比例。</w:t>
            </w:r>
          </w:p>
          <w:p>
            <w:pPr>
              <w:spacing w:line="0" w:lineRule="atLeast"/>
              <w:rPr>
                <w:rFonts w:ascii="宋体" w:hAnsi="宋体"/>
                <w:color w:val="auto"/>
                <w:szCs w:val="21"/>
              </w:rPr>
            </w:pPr>
            <w:r>
              <w:rPr>
                <w:rFonts w:hint="eastAsia" w:ascii="宋体" w:hAnsi="宋体"/>
                <w:color w:val="auto"/>
                <w:szCs w:val="21"/>
              </w:rPr>
              <w:t>下浮比例最高的为基准，得</w:t>
            </w:r>
            <w:r>
              <w:rPr>
                <w:rFonts w:hint="eastAsia" w:ascii="宋体" w:hAnsi="宋体"/>
                <w:color w:val="auto"/>
                <w:szCs w:val="21"/>
                <w:lang w:val="en-US" w:eastAsia="zh-CN"/>
              </w:rPr>
              <w:t>15</w:t>
            </w:r>
            <w:r>
              <w:rPr>
                <w:rFonts w:ascii="宋体" w:hAnsi="宋体"/>
                <w:color w:val="auto"/>
                <w:szCs w:val="21"/>
              </w:rPr>
              <w:t>分，其他投标人的价格分统一按照下列公式计算：投标报价得分=(1-基准下浮比例／1-下浮比例)×1</w:t>
            </w:r>
            <w:r>
              <w:rPr>
                <w:rFonts w:hint="eastAsia" w:ascii="宋体" w:hAnsi="宋体"/>
                <w:color w:val="auto"/>
                <w:szCs w:val="21"/>
                <w:lang w:val="en-US" w:eastAsia="zh-CN"/>
              </w:rPr>
              <w:t>5</w:t>
            </w:r>
            <w:r>
              <w:rPr>
                <w:rFonts w:ascii="宋体" w:hAnsi="宋体"/>
                <w:color w:val="auto"/>
                <w:szCs w:val="21"/>
              </w:rPr>
              <w:t>%×100。</w:t>
            </w:r>
          </w:p>
        </w:tc>
        <w:tc>
          <w:tcPr>
            <w:tcW w:w="14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olor w:val="000000"/>
                <w:szCs w:val="21"/>
                <w:lang w:eastAsia="zh-CN"/>
              </w:rPr>
            </w:pPr>
            <w:r>
              <w:rPr>
                <w:rFonts w:hint="eastAsia" w:ascii="宋体" w:hAnsi="宋体"/>
                <w:color w:val="000000"/>
                <w:szCs w:val="21"/>
                <w:lang w:eastAsia="zh-CN"/>
              </w:rPr>
              <w:t>价格分保留小数点后两位。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000000"/>
                <w:szCs w:val="21"/>
                <w:lang w:eastAsia="zh-CN"/>
              </w:rPr>
            </w:pPr>
            <w:r>
              <w:rPr>
                <w:rFonts w:hint="eastAsia" w:ascii="宋体" w:hAnsi="宋体"/>
                <w:bCs/>
                <w:color w:val="000000"/>
                <w:szCs w:val="21"/>
                <w:lang w:val="en-US" w:eastAsia="zh-CN"/>
              </w:rPr>
              <w:t>2</w:t>
            </w:r>
          </w:p>
        </w:tc>
        <w:tc>
          <w:tcPr>
            <w:tcW w:w="85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color w:val="000000"/>
                <w:lang w:val="en-US" w:eastAsia="zh-CN"/>
              </w:rPr>
            </w:pPr>
            <w:r>
              <w:rPr>
                <w:rFonts w:hint="eastAsia"/>
                <w:color w:val="000000"/>
                <w:lang w:eastAsia="zh-CN"/>
              </w:rPr>
              <w:t>业务能力</w:t>
            </w:r>
            <w:r>
              <w:rPr>
                <w:rFonts w:hint="eastAsia" w:ascii="宋体" w:hAnsi="宋体"/>
                <w:bCs/>
                <w:color w:val="000000"/>
                <w:szCs w:val="21"/>
                <w:lang w:val="en-US" w:eastAsia="zh-CN"/>
              </w:rPr>
              <w:t>18%</w:t>
            </w:r>
          </w:p>
        </w:tc>
        <w:tc>
          <w:tcPr>
            <w:tcW w:w="4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ascii="宋体" w:hAnsi="宋体"/>
                <w:bCs/>
                <w:color w:val="auto"/>
                <w:szCs w:val="21"/>
              </w:rPr>
              <w:t>18</w:t>
            </w:r>
            <w:r>
              <w:rPr>
                <w:rFonts w:hint="eastAsia" w:ascii="宋体" w:hAnsi="宋体"/>
                <w:bCs/>
                <w:color w:val="auto"/>
                <w:szCs w:val="21"/>
                <w:lang w:eastAsia="zh-CN"/>
              </w:rPr>
              <w:t>分</w:t>
            </w:r>
          </w:p>
        </w:tc>
        <w:tc>
          <w:tcPr>
            <w:tcW w:w="565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ascii="宋体" w:hAnsi="宋体"/>
                <w:color w:val="auto"/>
                <w:szCs w:val="21"/>
              </w:rPr>
              <w:t>投标人所提供的人员中有</w:t>
            </w:r>
            <w:r>
              <w:rPr>
                <w:rFonts w:hint="default" w:ascii="宋体" w:hAnsi="宋体"/>
                <w:color w:val="auto"/>
                <w:szCs w:val="21"/>
              </w:rPr>
              <w:t>1</w:t>
            </w:r>
            <w:r>
              <w:rPr>
                <w:rFonts w:ascii="宋体" w:hAnsi="宋体"/>
                <w:color w:val="auto"/>
                <w:szCs w:val="21"/>
              </w:rPr>
              <w:t>0名医学</w:t>
            </w:r>
            <w:r>
              <w:rPr>
                <w:rFonts w:hint="eastAsia" w:ascii="宋体" w:hAnsi="宋体"/>
                <w:color w:val="auto"/>
                <w:szCs w:val="21"/>
                <w:lang w:eastAsia="zh-CN"/>
              </w:rPr>
              <w:t>病理</w:t>
            </w:r>
            <w:r>
              <w:rPr>
                <w:rFonts w:ascii="宋体" w:hAnsi="宋体"/>
                <w:color w:val="auto"/>
                <w:szCs w:val="21"/>
              </w:rPr>
              <w:t>专业技术人员，得5分；</w:t>
            </w:r>
            <w:r>
              <w:rPr>
                <w:rFonts w:hint="eastAsia" w:ascii="宋体" w:hAnsi="宋体"/>
                <w:color w:val="auto"/>
                <w:szCs w:val="21"/>
                <w:lang w:val="en-US"/>
              </w:rPr>
              <w:t>在此基础上每增加一名中级职称人员加</w:t>
            </w:r>
            <w:r>
              <w:rPr>
                <w:rFonts w:hint="default" w:ascii="宋体" w:hAnsi="宋体"/>
                <w:color w:val="auto"/>
                <w:szCs w:val="21"/>
              </w:rPr>
              <w:t>1</w:t>
            </w:r>
            <w:r>
              <w:rPr>
                <w:rFonts w:hint="eastAsia" w:ascii="宋体" w:hAnsi="宋体"/>
                <w:color w:val="auto"/>
                <w:szCs w:val="21"/>
                <w:lang w:val="en-US"/>
              </w:rPr>
              <w:t>分</w:t>
            </w:r>
            <w:r>
              <w:rPr>
                <w:rFonts w:hint="default" w:ascii="宋体" w:hAnsi="宋体"/>
                <w:color w:val="auto"/>
                <w:szCs w:val="21"/>
              </w:rPr>
              <w:t>，</w:t>
            </w:r>
            <w:r>
              <w:rPr>
                <w:rFonts w:hint="eastAsia" w:ascii="宋体" w:hAnsi="宋体"/>
                <w:color w:val="auto"/>
                <w:szCs w:val="21"/>
                <w:lang w:val="en-US"/>
              </w:rPr>
              <w:t>每增加一名高级职称人员加</w:t>
            </w:r>
            <w:r>
              <w:rPr>
                <w:rFonts w:hint="default" w:ascii="宋体" w:hAnsi="宋体"/>
                <w:color w:val="auto"/>
                <w:szCs w:val="21"/>
              </w:rPr>
              <w:t>5</w:t>
            </w:r>
            <w:r>
              <w:rPr>
                <w:rFonts w:hint="eastAsia" w:ascii="宋体" w:hAnsi="宋体"/>
                <w:color w:val="auto"/>
                <w:szCs w:val="21"/>
                <w:lang w:val="en-US"/>
              </w:rPr>
              <w:t>分</w:t>
            </w:r>
            <w:r>
              <w:rPr>
                <w:rFonts w:ascii="宋体" w:hAnsi="宋体"/>
                <w:color w:val="auto"/>
                <w:szCs w:val="21"/>
              </w:rPr>
              <w:t>，本项最多得1</w:t>
            </w:r>
            <w:r>
              <w:rPr>
                <w:rFonts w:hint="default" w:ascii="宋体" w:hAnsi="宋体"/>
                <w:color w:val="auto"/>
                <w:szCs w:val="21"/>
              </w:rPr>
              <w:t>8</w:t>
            </w:r>
            <w:r>
              <w:rPr>
                <w:rFonts w:ascii="宋体" w:hAnsi="宋体"/>
                <w:color w:val="auto"/>
                <w:szCs w:val="21"/>
              </w:rPr>
              <w:t>分；（</w:t>
            </w:r>
            <w:r>
              <w:rPr>
                <w:rFonts w:hint="eastAsia" w:ascii="宋体" w:hAnsi="宋体"/>
                <w:color w:val="auto"/>
                <w:szCs w:val="21"/>
                <w:lang w:val="en-US"/>
              </w:rPr>
              <w:t>注</w:t>
            </w:r>
            <w:r>
              <w:rPr>
                <w:rFonts w:hint="default" w:ascii="宋体" w:hAnsi="宋体"/>
                <w:color w:val="auto"/>
                <w:szCs w:val="21"/>
              </w:rPr>
              <w:t>：</w:t>
            </w:r>
            <w:r>
              <w:rPr>
                <w:rFonts w:hint="eastAsia" w:ascii="宋体" w:hAnsi="宋体"/>
                <w:color w:val="auto"/>
                <w:szCs w:val="21"/>
                <w:lang w:val="en-US"/>
              </w:rPr>
              <w:t>中高级职称人员需提供近半年社保缴纳记录证明材料及</w:t>
            </w:r>
            <w:r>
              <w:rPr>
                <w:rFonts w:ascii="宋体" w:hAnsi="宋体"/>
                <w:color w:val="auto"/>
                <w:szCs w:val="21"/>
              </w:rPr>
              <w:t>卫生专业资格证书复印</w:t>
            </w:r>
            <w:r>
              <w:rPr>
                <w:rFonts w:hint="eastAsia" w:ascii="宋体" w:hAnsi="宋体"/>
                <w:color w:val="auto"/>
                <w:szCs w:val="21"/>
                <w:lang w:val="en-US"/>
              </w:rPr>
              <w:t>件</w:t>
            </w:r>
            <w:r>
              <w:rPr>
                <w:rFonts w:hint="default" w:ascii="宋体" w:hAnsi="宋体"/>
                <w:color w:val="auto"/>
                <w:szCs w:val="21"/>
              </w:rPr>
              <w:t>；</w:t>
            </w:r>
            <w:r>
              <w:rPr>
                <w:rFonts w:hint="eastAsia" w:ascii="宋体" w:hAnsi="宋体"/>
                <w:color w:val="auto"/>
                <w:szCs w:val="21"/>
                <w:lang w:val="en-US"/>
              </w:rPr>
              <w:t>其余人员可社保缴纳记录或劳务合同复印件及</w:t>
            </w:r>
            <w:r>
              <w:rPr>
                <w:rFonts w:ascii="宋体" w:hAnsi="宋体"/>
                <w:color w:val="auto"/>
                <w:szCs w:val="21"/>
              </w:rPr>
              <w:t>卫生专业资格证书复印</w:t>
            </w:r>
            <w:r>
              <w:rPr>
                <w:rFonts w:hint="eastAsia" w:ascii="宋体" w:hAnsi="宋体"/>
                <w:color w:val="auto"/>
                <w:szCs w:val="21"/>
                <w:lang w:val="en-US"/>
              </w:rPr>
              <w:t>件</w:t>
            </w:r>
            <w:r>
              <w:rPr>
                <w:rFonts w:ascii="宋体" w:hAnsi="宋体"/>
                <w:color w:val="auto"/>
                <w:szCs w:val="21"/>
              </w:rPr>
              <w:t xml:space="preserve">。）                                         </w:t>
            </w:r>
          </w:p>
        </w:tc>
        <w:tc>
          <w:tcPr>
            <w:tcW w:w="14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Cs w:val="21"/>
              </w:rPr>
            </w:pPr>
            <w:r>
              <w:rPr>
                <w:rFonts w:ascii="宋体" w:hAnsi="宋体"/>
                <w:color w:val="000000"/>
                <w:szCs w:val="21"/>
              </w:rPr>
              <w:t xml:space="preserve">              </w:t>
            </w:r>
          </w:p>
          <w:p>
            <w:pPr>
              <w:spacing w:line="0" w:lineRule="atLeast"/>
              <w:jc w:val="center"/>
              <w:rPr>
                <w:rFonts w:ascii="宋体" w:hAnsi="宋体"/>
                <w:color w:val="000000"/>
                <w:szCs w:val="21"/>
              </w:rPr>
            </w:pPr>
            <w:r>
              <w:rPr>
                <w:rFonts w:hint="eastAsia" w:ascii="宋体" w:hAnsi="宋体"/>
                <w:color w:val="000000"/>
                <w:szCs w:val="21"/>
              </w:rPr>
              <w:t>注：人员不重复计分。</w:t>
            </w:r>
            <w:r>
              <w:rPr>
                <w:rFonts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000000"/>
                <w:szCs w:val="21"/>
                <w:lang w:eastAsia="zh-CN"/>
              </w:rPr>
            </w:pPr>
            <w:r>
              <w:rPr>
                <w:rFonts w:hint="eastAsia" w:ascii="宋体" w:hAnsi="宋体"/>
                <w:bCs/>
                <w:color w:val="000000"/>
                <w:szCs w:val="21"/>
                <w:lang w:val="en-US" w:eastAsia="zh-CN"/>
              </w:rPr>
              <w:t>3</w:t>
            </w:r>
          </w:p>
        </w:tc>
        <w:tc>
          <w:tcPr>
            <w:tcW w:w="85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eastAsia="宋体"/>
                <w:color w:val="000000"/>
                <w:lang w:val="en-US" w:eastAsia="zh-CN"/>
              </w:rPr>
            </w:pPr>
            <w:r>
              <w:rPr>
                <w:rFonts w:hint="eastAsia"/>
                <w:color w:val="000000"/>
              </w:rPr>
              <w:t>综合实力</w:t>
            </w:r>
            <w:r>
              <w:rPr>
                <w:rFonts w:hint="eastAsia" w:ascii="宋体" w:hAnsi="宋体"/>
                <w:bCs/>
                <w:color w:val="000000"/>
                <w:szCs w:val="21"/>
                <w:lang w:val="en-US" w:eastAsia="zh-CN"/>
              </w:rPr>
              <w:t>24%</w:t>
            </w:r>
          </w:p>
        </w:tc>
        <w:tc>
          <w:tcPr>
            <w:tcW w:w="4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ascii="宋体" w:hAnsi="宋体"/>
                <w:bCs/>
                <w:color w:val="auto"/>
                <w:szCs w:val="21"/>
              </w:rPr>
              <w:t>24</w:t>
            </w:r>
            <w:r>
              <w:rPr>
                <w:rFonts w:hint="eastAsia" w:ascii="宋体" w:hAnsi="宋体"/>
                <w:bCs/>
                <w:color w:val="auto"/>
                <w:szCs w:val="21"/>
                <w:lang w:eastAsia="zh-CN"/>
              </w:rPr>
              <w:t>分</w:t>
            </w:r>
          </w:p>
        </w:tc>
        <w:tc>
          <w:tcPr>
            <w:tcW w:w="565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ascii="宋体" w:hAnsi="宋体"/>
                <w:color w:val="auto"/>
                <w:szCs w:val="21"/>
              </w:rPr>
              <w:t xml:space="preserve">1、投标人实验室通过中国合格评定国家认可委员会(CNAS)ISO 15189认可，且在有效期内，得3分。（提供证书复印件）                         </w:t>
            </w:r>
          </w:p>
          <w:p>
            <w:pPr>
              <w:spacing w:line="0" w:lineRule="atLeast"/>
              <w:rPr>
                <w:rFonts w:ascii="宋体" w:hAnsi="宋体"/>
                <w:color w:val="auto"/>
                <w:szCs w:val="21"/>
              </w:rPr>
            </w:pPr>
            <w:r>
              <w:rPr>
                <w:rFonts w:ascii="宋体" w:hAnsi="宋体"/>
                <w:color w:val="auto"/>
                <w:szCs w:val="21"/>
              </w:rPr>
              <w:t>2、投标人实验室通过IS015189 认可数量，其中：</w:t>
            </w:r>
          </w:p>
          <w:p>
            <w:pPr>
              <w:spacing w:line="0" w:lineRule="atLeast"/>
              <w:rPr>
                <w:rFonts w:ascii="宋体" w:hAnsi="宋体"/>
                <w:color w:val="auto"/>
                <w:szCs w:val="21"/>
              </w:rPr>
            </w:pPr>
            <w:r>
              <w:rPr>
                <w:rFonts w:ascii="宋体" w:hAnsi="宋体"/>
                <w:color w:val="auto"/>
                <w:szCs w:val="21"/>
              </w:rPr>
              <w:t xml:space="preserve">(1)认可项目数量≥70项，得5分； </w:t>
            </w:r>
          </w:p>
          <w:p>
            <w:pPr>
              <w:spacing w:line="0" w:lineRule="atLeast"/>
              <w:rPr>
                <w:rFonts w:ascii="宋体" w:hAnsi="宋体"/>
                <w:color w:val="auto"/>
                <w:szCs w:val="21"/>
              </w:rPr>
            </w:pPr>
            <w:r>
              <w:rPr>
                <w:rFonts w:ascii="宋体" w:hAnsi="宋体"/>
                <w:color w:val="auto"/>
                <w:szCs w:val="21"/>
              </w:rPr>
              <w:t xml:space="preserve">(2)认可项目数量达 61-69项，得3分；         </w:t>
            </w:r>
          </w:p>
          <w:p>
            <w:pPr>
              <w:spacing w:line="0" w:lineRule="atLeast"/>
              <w:rPr>
                <w:rFonts w:ascii="宋体" w:hAnsi="宋体"/>
                <w:color w:val="auto"/>
                <w:szCs w:val="21"/>
              </w:rPr>
            </w:pPr>
            <w:r>
              <w:rPr>
                <w:rFonts w:ascii="宋体" w:hAnsi="宋体"/>
                <w:color w:val="auto"/>
                <w:szCs w:val="21"/>
              </w:rPr>
              <w:t xml:space="preserve">(3)认可项目数量≤60项，得1分； </w:t>
            </w:r>
          </w:p>
          <w:p>
            <w:pPr>
              <w:spacing w:line="0" w:lineRule="atLeast"/>
              <w:rPr>
                <w:rFonts w:ascii="宋体" w:hAnsi="宋体"/>
                <w:color w:val="auto"/>
                <w:szCs w:val="21"/>
              </w:rPr>
            </w:pPr>
            <w:r>
              <w:rPr>
                <w:rFonts w:hint="eastAsia" w:ascii="宋体" w:hAnsi="宋体"/>
                <w:color w:val="auto"/>
                <w:szCs w:val="21"/>
              </w:rPr>
              <w:t>（提供证书复印件）</w:t>
            </w:r>
          </w:p>
          <w:p>
            <w:pPr>
              <w:spacing w:line="0" w:lineRule="atLeast"/>
              <w:rPr>
                <w:rFonts w:ascii="宋体" w:hAnsi="宋体"/>
                <w:color w:val="auto"/>
                <w:szCs w:val="21"/>
              </w:rPr>
            </w:pPr>
            <w:r>
              <w:rPr>
                <w:rFonts w:ascii="宋体" w:hAnsi="宋体"/>
                <w:color w:val="auto"/>
                <w:szCs w:val="21"/>
              </w:rPr>
              <w:t>3、投标人2018年以来开展项目任意一年通过国家卫生健康委临床检验中心室间质量评价计划中，通过50项得1分，每增加50项加1分，累计最高得4分；（提供室间质评证书复印件）</w:t>
            </w:r>
          </w:p>
          <w:p>
            <w:pPr>
              <w:spacing w:line="0" w:lineRule="atLeast"/>
              <w:rPr>
                <w:rFonts w:ascii="宋体" w:hAnsi="宋体"/>
                <w:color w:val="auto"/>
                <w:szCs w:val="21"/>
              </w:rPr>
            </w:pPr>
            <w:r>
              <w:rPr>
                <w:rFonts w:ascii="宋体" w:hAnsi="宋体"/>
                <w:color w:val="auto"/>
                <w:szCs w:val="21"/>
              </w:rPr>
              <w:t>4、投标人实验室能够满足高端检测需求，具有①基因测序仪；②数字病理切片扫描仪；③</w:t>
            </w:r>
            <w:r>
              <w:rPr>
                <w:rFonts w:hint="eastAsia" w:ascii="宋体" w:hAnsi="宋体"/>
                <w:color w:val="auto"/>
                <w:szCs w:val="21"/>
                <w:lang w:val="en-US"/>
              </w:rPr>
              <w:t>冷冻切片机</w:t>
            </w:r>
            <w:r>
              <w:rPr>
                <w:rFonts w:ascii="宋体" w:hAnsi="宋体"/>
                <w:color w:val="auto"/>
                <w:szCs w:val="21"/>
              </w:rPr>
              <w:t>；④</w:t>
            </w:r>
            <w:r>
              <w:rPr>
                <w:rFonts w:hint="eastAsia" w:ascii="宋体" w:hAnsi="宋体"/>
                <w:color w:val="auto"/>
                <w:szCs w:val="21"/>
                <w:lang w:val="en-US"/>
              </w:rPr>
              <w:t>全自动免疫组化设备</w:t>
            </w:r>
            <w:r>
              <w:rPr>
                <w:rFonts w:ascii="宋体" w:hAnsi="宋体"/>
                <w:color w:val="auto"/>
                <w:szCs w:val="21"/>
              </w:rPr>
              <w:t>，每满足一项得1分，最高得4分。（投标人提供设备购买发票复印件作为证明材料）</w:t>
            </w:r>
          </w:p>
          <w:p>
            <w:pPr>
              <w:spacing w:line="0" w:lineRule="atLeast"/>
              <w:rPr>
                <w:rFonts w:ascii="宋体" w:hAnsi="宋体"/>
                <w:color w:val="auto"/>
                <w:szCs w:val="21"/>
              </w:rPr>
            </w:pPr>
            <w:r>
              <w:rPr>
                <w:rFonts w:ascii="宋体" w:hAnsi="宋体"/>
                <w:color w:val="auto"/>
                <w:szCs w:val="21"/>
              </w:rPr>
              <w:t>5、投标人</w:t>
            </w:r>
            <w:r>
              <w:rPr>
                <w:rFonts w:hint="default"/>
                <w:color w:val="auto"/>
                <w:lang w:val="en-US" w:eastAsia="zh-CN"/>
              </w:rPr>
              <w:t>为</w:t>
            </w:r>
            <w:r>
              <w:rPr>
                <w:rFonts w:hint="eastAsia"/>
                <w:color w:val="auto"/>
                <w:lang w:eastAsia="zh-CN"/>
              </w:rPr>
              <w:t>校企合作</w:t>
            </w:r>
            <w:r>
              <w:rPr>
                <w:rFonts w:hint="default"/>
                <w:color w:val="auto"/>
                <w:lang w:val="en-US" w:eastAsia="zh-CN"/>
              </w:rPr>
              <w:t>单位</w:t>
            </w:r>
            <w:r>
              <w:rPr>
                <w:rFonts w:hint="eastAsia"/>
                <w:color w:val="auto"/>
                <w:lang w:eastAsia="zh-CN"/>
              </w:rPr>
              <w:t>或参与校企合作</w:t>
            </w:r>
            <w:r>
              <w:rPr>
                <w:rFonts w:hint="default"/>
                <w:color w:val="auto"/>
                <w:lang w:eastAsia="zh-CN"/>
              </w:rPr>
              <w:t>，</w:t>
            </w:r>
            <w:r>
              <w:rPr>
                <w:rFonts w:hint="eastAsia"/>
                <w:color w:val="auto"/>
                <w:lang w:val="en-US"/>
              </w:rPr>
              <w:t>可</w:t>
            </w:r>
            <w:r>
              <w:rPr>
                <w:rFonts w:ascii="宋体" w:hAnsi="宋体"/>
                <w:color w:val="auto"/>
                <w:szCs w:val="21"/>
              </w:rPr>
              <w:t>提供</w:t>
            </w:r>
            <w:r>
              <w:rPr>
                <w:rFonts w:hint="eastAsia" w:ascii="宋体" w:hAnsi="宋体"/>
                <w:color w:val="auto"/>
                <w:szCs w:val="21"/>
                <w:lang w:eastAsia="zh-CN"/>
              </w:rPr>
              <w:t>病理</w:t>
            </w:r>
            <w:r>
              <w:rPr>
                <w:rFonts w:ascii="宋体" w:hAnsi="宋体"/>
                <w:color w:val="auto"/>
                <w:szCs w:val="21"/>
              </w:rPr>
              <w:t>专业进修学习服务能力。每提供一家得2分，累计不超过6分。（提供双方合作协议复印件）</w:t>
            </w:r>
          </w:p>
          <w:p>
            <w:pPr>
              <w:spacing w:line="0" w:lineRule="atLeast"/>
              <w:rPr>
                <w:rFonts w:ascii="宋体" w:hAnsi="宋体"/>
                <w:color w:val="auto"/>
                <w:szCs w:val="21"/>
              </w:rPr>
            </w:pPr>
            <w:r>
              <w:rPr>
                <w:rFonts w:ascii="宋体" w:hAnsi="宋体"/>
                <w:color w:val="auto"/>
                <w:szCs w:val="21"/>
              </w:rPr>
              <w:t>6、投标人具有《道路运输经营许可证》，得2分（提供证书复印件）</w:t>
            </w:r>
          </w:p>
        </w:tc>
        <w:tc>
          <w:tcPr>
            <w:tcW w:w="14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000000"/>
                <w:szCs w:val="21"/>
                <w:lang w:eastAsia="zh-CN"/>
              </w:rPr>
            </w:pPr>
            <w:r>
              <w:rPr>
                <w:rFonts w:hint="eastAsia" w:ascii="宋体" w:hAnsi="宋体"/>
                <w:bCs/>
                <w:color w:val="000000"/>
                <w:szCs w:val="21"/>
                <w:lang w:val="en-US" w:eastAsia="zh-CN"/>
              </w:rPr>
              <w:t>4</w:t>
            </w:r>
          </w:p>
        </w:tc>
        <w:tc>
          <w:tcPr>
            <w:tcW w:w="85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000000"/>
              </w:rPr>
            </w:pPr>
            <w:r>
              <w:rPr>
                <w:rFonts w:hint="eastAsia"/>
                <w:color w:val="000000"/>
              </w:rPr>
              <w:t>类似业绩证明</w:t>
            </w:r>
          </w:p>
          <w:p>
            <w:pPr>
              <w:pStyle w:val="2"/>
              <w:jc w:val="center"/>
              <w:rPr>
                <w:rFonts w:hint="default" w:eastAsia="宋体"/>
                <w:color w:val="000000"/>
                <w:lang w:val="en-US" w:eastAsia="zh-CN"/>
              </w:rPr>
            </w:pPr>
            <w:r>
              <w:rPr>
                <w:rFonts w:hint="eastAsia" w:ascii="宋体" w:hAnsi="宋体"/>
                <w:bCs/>
                <w:color w:val="000000"/>
                <w:szCs w:val="21"/>
                <w:lang w:val="en-US" w:eastAsia="zh-CN"/>
              </w:rPr>
              <w:t>15%</w:t>
            </w:r>
          </w:p>
        </w:tc>
        <w:tc>
          <w:tcPr>
            <w:tcW w:w="4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ascii="宋体" w:hAnsi="宋体"/>
                <w:bCs/>
                <w:color w:val="auto"/>
                <w:szCs w:val="21"/>
              </w:rPr>
              <w:t>15</w:t>
            </w:r>
            <w:r>
              <w:rPr>
                <w:rFonts w:hint="eastAsia" w:ascii="宋体" w:hAnsi="宋体"/>
                <w:bCs/>
                <w:color w:val="auto"/>
                <w:szCs w:val="21"/>
                <w:lang w:eastAsia="zh-CN"/>
              </w:rPr>
              <w:t>分</w:t>
            </w:r>
          </w:p>
        </w:tc>
        <w:tc>
          <w:tcPr>
            <w:tcW w:w="565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ascii="宋体" w:hAnsi="宋体"/>
                <w:color w:val="auto"/>
                <w:szCs w:val="21"/>
              </w:rPr>
              <w:t>投标人提供自20</w:t>
            </w:r>
            <w:r>
              <w:rPr>
                <w:rFonts w:hint="eastAsia" w:ascii="宋体" w:hAnsi="宋体"/>
                <w:color w:val="auto"/>
                <w:szCs w:val="21"/>
                <w:lang w:val="en-US" w:eastAsia="zh-CN"/>
              </w:rPr>
              <w:t>21</w:t>
            </w:r>
            <w:r>
              <w:rPr>
                <w:rFonts w:ascii="宋体" w:hAnsi="宋体"/>
                <w:color w:val="auto"/>
                <w:szCs w:val="21"/>
              </w:rPr>
              <w:t>年以来</w:t>
            </w:r>
            <w:r>
              <w:rPr>
                <w:rFonts w:hint="eastAsia" w:ascii="宋体" w:hAnsi="宋体"/>
                <w:color w:val="auto"/>
                <w:szCs w:val="21"/>
                <w:lang w:val="en-US"/>
              </w:rPr>
              <w:t>有效期内合作</w:t>
            </w:r>
            <w:r>
              <w:rPr>
                <w:rFonts w:ascii="宋体" w:hAnsi="宋体"/>
                <w:color w:val="auto"/>
                <w:szCs w:val="21"/>
              </w:rPr>
              <w:t>的类似项目，每提供一个得</w:t>
            </w:r>
            <w:r>
              <w:rPr>
                <w:rFonts w:hint="eastAsia" w:ascii="宋体" w:hAnsi="宋体"/>
                <w:color w:val="auto"/>
                <w:szCs w:val="21"/>
                <w:lang w:val="en-US" w:eastAsia="zh-CN"/>
              </w:rPr>
              <w:t>1</w:t>
            </w:r>
            <w:r>
              <w:rPr>
                <w:rFonts w:ascii="宋体" w:hAnsi="宋体"/>
                <w:color w:val="auto"/>
                <w:szCs w:val="21"/>
              </w:rPr>
              <w:t>分，本项最多得15分。</w:t>
            </w:r>
          </w:p>
          <w:p>
            <w:pPr>
              <w:spacing w:line="0" w:lineRule="atLeast"/>
              <w:rPr>
                <w:rFonts w:ascii="宋体" w:hAnsi="宋体"/>
                <w:color w:val="auto"/>
                <w:szCs w:val="21"/>
              </w:rPr>
            </w:pPr>
            <w:r>
              <w:rPr>
                <w:rFonts w:hint="eastAsia" w:ascii="宋体" w:hAnsi="宋体"/>
                <w:color w:val="auto"/>
                <w:szCs w:val="21"/>
              </w:rPr>
              <w:t>注：科研合同除外；注释：科研合同是以科研形式签订的外送检验合同。</w:t>
            </w:r>
          </w:p>
        </w:tc>
        <w:tc>
          <w:tcPr>
            <w:tcW w:w="14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Cs w:val="21"/>
              </w:rPr>
            </w:pPr>
            <w:r>
              <w:rPr>
                <w:rFonts w:hint="eastAsia" w:ascii="宋体" w:hAnsi="宋体"/>
                <w:color w:val="000000"/>
                <w:szCs w:val="21"/>
              </w:rPr>
              <w:t>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000000"/>
                <w:szCs w:val="21"/>
                <w:lang w:eastAsia="zh-CN"/>
              </w:rPr>
            </w:pPr>
            <w:r>
              <w:rPr>
                <w:rFonts w:hint="eastAsia" w:ascii="宋体" w:hAnsi="宋体"/>
                <w:bCs/>
                <w:color w:val="000000"/>
                <w:szCs w:val="21"/>
                <w:lang w:val="en-US" w:eastAsia="zh-CN"/>
              </w:rPr>
              <w:t>5</w:t>
            </w:r>
          </w:p>
        </w:tc>
        <w:tc>
          <w:tcPr>
            <w:tcW w:w="85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eastAsia="宋体"/>
                <w:color w:val="000000"/>
                <w:lang w:val="en-US" w:eastAsia="zh-CN"/>
              </w:rPr>
            </w:pPr>
            <w:r>
              <w:rPr>
                <w:rFonts w:hint="eastAsia"/>
                <w:color w:val="000000"/>
              </w:rPr>
              <w:t>服务方案</w:t>
            </w:r>
            <w:r>
              <w:rPr>
                <w:rFonts w:hint="eastAsia" w:ascii="宋体" w:hAnsi="宋体"/>
                <w:bCs/>
                <w:color w:val="000000"/>
                <w:szCs w:val="21"/>
                <w:lang w:val="en-US" w:eastAsia="zh-CN"/>
              </w:rPr>
              <w:t>28%</w:t>
            </w:r>
          </w:p>
        </w:tc>
        <w:tc>
          <w:tcPr>
            <w:tcW w:w="4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000000"/>
                <w:szCs w:val="21"/>
                <w:lang w:eastAsia="zh-CN"/>
              </w:rPr>
            </w:pPr>
            <w:r>
              <w:rPr>
                <w:rFonts w:ascii="宋体" w:hAnsi="宋体"/>
                <w:bCs/>
                <w:color w:val="000000"/>
                <w:szCs w:val="21"/>
              </w:rPr>
              <w:t>28</w:t>
            </w:r>
            <w:r>
              <w:rPr>
                <w:rFonts w:hint="eastAsia" w:ascii="宋体" w:hAnsi="宋体"/>
                <w:bCs/>
                <w:color w:val="000000"/>
                <w:szCs w:val="21"/>
                <w:lang w:eastAsia="zh-CN"/>
              </w:rPr>
              <w:t>分</w:t>
            </w:r>
          </w:p>
        </w:tc>
        <w:tc>
          <w:tcPr>
            <w:tcW w:w="565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szCs w:val="21"/>
              </w:rPr>
            </w:pPr>
            <w:r>
              <w:rPr>
                <w:rFonts w:hint="eastAsia" w:ascii="宋体" w:hAnsi="宋体"/>
                <w:color w:val="000000"/>
                <w:szCs w:val="21"/>
              </w:rPr>
              <w:t>根据投标人提供的服务方案进行综合评分，包括以下内容：①服务流程、②标本接收、③检测流程、④检验报告送达、⑤增值服务、⑥质量保障措施、⑦应急方案。服务方案内容齐全且完全满足本项目需求的得</w:t>
            </w:r>
            <w:r>
              <w:rPr>
                <w:rFonts w:ascii="宋体" w:hAnsi="宋体"/>
                <w:color w:val="000000"/>
                <w:szCs w:val="21"/>
              </w:rPr>
              <w:t>28分，每缺一项扣4分，每有一项阐述不清、描述不明扣2分，扣完为止。</w:t>
            </w:r>
          </w:p>
        </w:tc>
        <w:tc>
          <w:tcPr>
            <w:tcW w:w="14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Cs w:val="21"/>
              </w:rPr>
            </w:pPr>
          </w:p>
        </w:tc>
      </w:tr>
    </w:tbl>
    <w:p>
      <w:pPr>
        <w:rPr>
          <w:rFonts w:ascii="宋体" w:hAnsi="宋体" w:eastAsia="宋体" w:cs="宋体"/>
          <w:color w:val="000000"/>
          <w:sz w:val="32"/>
          <w:szCs w:val="32"/>
        </w:rPr>
      </w:pPr>
    </w:p>
    <w:p>
      <w:pPr>
        <w:jc w:val="right"/>
        <w:rPr>
          <w:rFonts w:ascii="宋体" w:hAnsi="宋体" w:eastAsia="宋体" w:cs="宋体"/>
          <w:sz w:val="24"/>
          <w:szCs w:val="24"/>
        </w:rPr>
      </w:pPr>
      <w:r>
        <w:rPr>
          <w:rFonts w:hint="eastAsia" w:ascii="宋体" w:hAnsi="宋体" w:eastAsia="宋体" w:cs="宋体"/>
          <w:sz w:val="24"/>
          <w:szCs w:val="24"/>
        </w:rPr>
        <w:t>三台县人民医院采购办</w:t>
      </w:r>
    </w:p>
    <w:p>
      <w:pPr>
        <w:jc w:val="right"/>
        <w:rPr>
          <w:rFonts w:ascii="宋体" w:hAnsi="宋体" w:eastAsia="宋体" w:cs="宋体"/>
          <w:sz w:val="32"/>
          <w:szCs w:val="32"/>
        </w:rPr>
        <w:sectPr>
          <w:pgSz w:w="11906" w:h="16838"/>
          <w:pgMar w:top="1440" w:right="1474" w:bottom="1440" w:left="1587" w:header="851" w:footer="992" w:gutter="0"/>
          <w:cols w:space="425" w:num="1"/>
          <w:docGrid w:type="lines" w:linePitch="312" w:charSpace="0"/>
        </w:sect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22</w:t>
      </w:r>
      <w:r>
        <w:rPr>
          <w:rFonts w:hint="eastAsia" w:ascii="宋体" w:hAnsi="宋体" w:eastAsia="宋体" w:cs="宋体"/>
          <w:sz w:val="24"/>
          <w:szCs w:val="24"/>
        </w:rPr>
        <w:t>日</w:t>
      </w:r>
    </w:p>
    <w:p>
      <w:pPr>
        <w:pStyle w:val="5"/>
        <w:ind w:firstLine="0"/>
        <w:rPr>
          <w:rFonts w:ascii="宋体" w:hAnsi="宋体" w:cs="宋体"/>
          <w:sz w:val="44"/>
          <w:szCs w:val="44"/>
        </w:rPr>
      </w:pPr>
      <w:r>
        <w:rPr>
          <w:rFonts w:hint="eastAsia" w:ascii="宋体" w:hAnsi="宋体" w:cs="宋体"/>
          <w:sz w:val="44"/>
          <w:szCs w:val="44"/>
        </w:rPr>
        <w:t>附件1</w:t>
      </w:r>
    </w:p>
    <w:p>
      <w:pPr>
        <w:pStyle w:val="9"/>
        <w:spacing w:line="500" w:lineRule="exact"/>
        <w:ind w:left="0" w:leftChars="0"/>
        <w:jc w:val="center"/>
        <w:rPr>
          <w:rFonts w:ascii="宋体" w:hAnsi="宋体" w:cs="宋体"/>
          <w:b/>
          <w:color w:val="000000"/>
          <w:sz w:val="48"/>
          <w:szCs w:val="48"/>
        </w:rPr>
      </w:pPr>
      <w:r>
        <w:rPr>
          <w:rFonts w:hint="eastAsia" w:ascii="宋体" w:hAnsi="宋体" w:cs="宋体"/>
          <w:b/>
          <w:color w:val="000000"/>
          <w:sz w:val="48"/>
          <w:szCs w:val="48"/>
          <w:lang w:eastAsia="zh-CN"/>
        </w:rPr>
        <w:t>响应</w:t>
      </w:r>
      <w:r>
        <w:rPr>
          <w:rFonts w:hint="eastAsia" w:ascii="宋体" w:hAnsi="宋体" w:cs="宋体"/>
          <w:b/>
          <w:color w:val="000000"/>
          <w:sz w:val="48"/>
          <w:szCs w:val="48"/>
        </w:rPr>
        <w:t>文件</w:t>
      </w:r>
    </w:p>
    <w:p>
      <w:pPr>
        <w:tabs>
          <w:tab w:val="left" w:pos="3780"/>
        </w:tabs>
        <w:snapToGrid w:val="0"/>
        <w:jc w:val="left"/>
        <w:rPr>
          <w:rFonts w:ascii="宋体" w:hAnsi="宋体" w:eastAsia="宋体" w:cs="宋体"/>
          <w:b/>
        </w:rPr>
      </w:pPr>
    </w:p>
    <w:p>
      <w:pPr>
        <w:tabs>
          <w:tab w:val="left" w:pos="3780"/>
        </w:tabs>
        <w:snapToGrid w:val="0"/>
        <w:jc w:val="left"/>
        <w:rPr>
          <w:rFonts w:ascii="宋体" w:hAnsi="宋体" w:eastAsia="宋体" w:cs="宋体"/>
          <w:b/>
        </w:rPr>
      </w:pPr>
    </w:p>
    <w:p>
      <w:pPr>
        <w:tabs>
          <w:tab w:val="left" w:pos="3780"/>
        </w:tabs>
        <w:snapToGrid w:val="0"/>
        <w:jc w:val="left"/>
        <w:rPr>
          <w:rFonts w:ascii="宋体" w:hAnsi="宋体" w:eastAsia="宋体" w:cs="宋体"/>
          <w:b/>
        </w:rPr>
      </w:pPr>
    </w:p>
    <w:p>
      <w:pPr>
        <w:tabs>
          <w:tab w:val="left" w:pos="3780"/>
        </w:tabs>
        <w:snapToGrid w:val="0"/>
        <w:jc w:val="left"/>
        <w:rPr>
          <w:rFonts w:ascii="宋体" w:hAnsi="宋体" w:eastAsia="宋体" w:cs="宋体"/>
          <w:b/>
          <w:sz w:val="44"/>
          <w:szCs w:val="44"/>
        </w:rPr>
      </w:pPr>
    </w:p>
    <w:p>
      <w:pPr>
        <w:tabs>
          <w:tab w:val="left" w:pos="3780"/>
        </w:tabs>
        <w:snapToGrid w:val="0"/>
        <w:spacing w:line="480" w:lineRule="auto"/>
        <w:ind w:left="840" w:leftChars="400"/>
        <w:rPr>
          <w:rFonts w:ascii="宋体" w:hAnsi="宋体" w:eastAsia="宋体" w:cs="宋体"/>
          <w:b/>
          <w:bCs/>
          <w:sz w:val="32"/>
          <w:szCs w:val="32"/>
          <w:u w:val="single"/>
        </w:rPr>
      </w:pPr>
      <w:r>
        <w:rPr>
          <w:rFonts w:hint="eastAsia" w:ascii="宋体" w:hAnsi="宋体" w:eastAsia="宋体" w:cs="宋体"/>
          <w:b/>
          <w:bCs/>
          <w:sz w:val="32"/>
          <w:szCs w:val="32"/>
        </w:rPr>
        <w:t>项目名称：</w:t>
      </w:r>
      <w:r>
        <w:rPr>
          <w:rFonts w:hint="eastAsia" w:ascii="宋体" w:hAnsi="宋体" w:eastAsia="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eastAsia="宋体" w:cs="宋体"/>
          <w:b/>
          <w:bCs/>
          <w:sz w:val="32"/>
          <w:szCs w:val="32"/>
          <w:u w:val="single"/>
        </w:rPr>
        <w:t xml:space="preserve">           </w:t>
      </w:r>
    </w:p>
    <w:p>
      <w:pPr>
        <w:pStyle w:val="15"/>
        <w:ind w:left="840" w:leftChars="400"/>
        <w:jc w:val="both"/>
        <w:rPr>
          <w:rFonts w:ascii="宋体" w:hAnsi="宋体" w:eastAsia="宋体" w:cs="宋体"/>
          <w:b/>
          <w:color w:val="auto"/>
        </w:rPr>
      </w:pPr>
    </w:p>
    <w:p>
      <w:pPr>
        <w:pStyle w:val="15"/>
        <w:ind w:left="840" w:leftChars="400"/>
        <w:jc w:val="both"/>
        <w:rPr>
          <w:rFonts w:ascii="宋体" w:hAnsi="宋体" w:eastAsia="宋体" w:cs="宋体"/>
          <w:b/>
          <w:color w:val="auto"/>
        </w:rPr>
      </w:pPr>
    </w:p>
    <w:p>
      <w:pPr>
        <w:pStyle w:val="15"/>
        <w:ind w:left="840" w:leftChars="400"/>
        <w:jc w:val="both"/>
        <w:rPr>
          <w:rFonts w:ascii="宋体" w:hAnsi="宋体" w:eastAsia="宋体" w:cs="宋体"/>
          <w:b/>
          <w:color w:val="auto"/>
        </w:rPr>
      </w:pPr>
    </w:p>
    <w:p>
      <w:pPr>
        <w:adjustRightInd w:val="0"/>
        <w:snapToGrid w:val="0"/>
        <w:ind w:left="840" w:leftChars="400"/>
        <w:rPr>
          <w:rFonts w:ascii="宋体" w:hAnsi="宋体" w:eastAsia="宋体" w:cs="宋体"/>
          <w:b/>
          <w:sz w:val="32"/>
          <w:szCs w:val="32"/>
        </w:rPr>
      </w:pPr>
      <w:r>
        <w:rPr>
          <w:rFonts w:hint="eastAsia" w:ascii="宋体" w:hAnsi="宋体" w:eastAsia="宋体" w:cs="宋体"/>
          <w:b/>
          <w:sz w:val="32"/>
          <w:szCs w:val="32"/>
        </w:rPr>
        <w:t xml:space="preserve">    </w:t>
      </w:r>
    </w:p>
    <w:p>
      <w:pPr>
        <w:adjustRightInd w:val="0"/>
        <w:snapToGrid w:val="0"/>
        <w:ind w:left="840" w:leftChars="400"/>
        <w:rPr>
          <w:rFonts w:ascii="宋体" w:hAnsi="宋体" w:eastAsia="宋体" w:cs="宋体"/>
          <w:b/>
          <w:bCs/>
          <w:sz w:val="28"/>
          <w:szCs w:val="28"/>
          <w:u w:val="single"/>
        </w:rPr>
      </w:pPr>
      <w:r>
        <w:rPr>
          <w:rFonts w:hint="eastAsia" w:ascii="宋体" w:hAnsi="宋体" w:eastAsia="宋体" w:cs="宋体"/>
          <w:b/>
          <w:sz w:val="28"/>
          <w:szCs w:val="28"/>
        </w:rPr>
        <w:t>授权代表：</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adjustRightInd w:val="0"/>
        <w:snapToGrid w:val="0"/>
        <w:ind w:left="840" w:leftChars="400" w:firstLine="843" w:firstLineChars="300"/>
        <w:rPr>
          <w:rFonts w:ascii="宋体" w:hAnsi="宋体" w:eastAsia="宋体" w:cs="宋体"/>
          <w:b/>
          <w:sz w:val="28"/>
          <w:szCs w:val="28"/>
        </w:rPr>
      </w:pPr>
    </w:p>
    <w:p>
      <w:pPr>
        <w:adjustRightInd w:val="0"/>
        <w:snapToGrid w:val="0"/>
        <w:ind w:left="840" w:leftChars="400" w:firstLine="843" w:firstLineChars="300"/>
        <w:rPr>
          <w:rFonts w:ascii="宋体" w:hAnsi="宋体" w:eastAsia="宋体" w:cs="宋体"/>
          <w:b/>
          <w:sz w:val="28"/>
          <w:szCs w:val="28"/>
        </w:rPr>
      </w:pPr>
    </w:p>
    <w:p>
      <w:pPr>
        <w:adjustRightInd w:val="0"/>
        <w:snapToGrid w:val="0"/>
        <w:ind w:left="840" w:leftChars="400" w:firstLine="843" w:firstLineChars="300"/>
        <w:rPr>
          <w:rFonts w:ascii="宋体" w:hAnsi="宋体" w:eastAsia="宋体" w:cs="宋体"/>
          <w:b/>
          <w:sz w:val="28"/>
          <w:szCs w:val="28"/>
        </w:rPr>
      </w:pPr>
    </w:p>
    <w:p>
      <w:pPr>
        <w:adjustRightInd w:val="0"/>
        <w:snapToGrid w:val="0"/>
        <w:ind w:left="840" w:leftChars="400" w:firstLine="843" w:firstLineChars="300"/>
        <w:rPr>
          <w:rFonts w:ascii="宋体" w:hAnsi="宋体" w:eastAsia="宋体" w:cs="宋体"/>
          <w:b/>
          <w:sz w:val="28"/>
          <w:szCs w:val="28"/>
        </w:rPr>
      </w:pPr>
    </w:p>
    <w:p>
      <w:pPr>
        <w:adjustRightInd w:val="0"/>
        <w:snapToGrid w:val="0"/>
        <w:ind w:left="840" w:leftChars="400"/>
        <w:rPr>
          <w:rFonts w:ascii="宋体" w:hAnsi="宋体" w:eastAsia="宋体" w:cs="宋体"/>
          <w:b/>
          <w:sz w:val="28"/>
          <w:szCs w:val="28"/>
        </w:rPr>
      </w:pPr>
      <w:r>
        <w:rPr>
          <w:rFonts w:hint="eastAsia" w:ascii="宋体" w:hAnsi="宋体" w:eastAsia="宋体" w:cs="宋体"/>
          <w:b/>
          <w:sz w:val="28"/>
          <w:szCs w:val="28"/>
        </w:rPr>
        <w:t>手机号码：</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adjustRightInd w:val="0"/>
        <w:snapToGrid w:val="0"/>
        <w:ind w:left="840" w:leftChars="400" w:firstLine="843" w:firstLineChars="300"/>
        <w:rPr>
          <w:rFonts w:ascii="宋体" w:hAnsi="宋体" w:eastAsia="宋体" w:cs="宋体"/>
          <w:b/>
          <w:sz w:val="28"/>
          <w:szCs w:val="28"/>
        </w:rPr>
      </w:pPr>
    </w:p>
    <w:p>
      <w:pPr>
        <w:pStyle w:val="16"/>
        <w:snapToGrid w:val="0"/>
        <w:spacing w:before="312" w:beforeLines="100" w:after="156" w:afterLines="50"/>
        <w:ind w:firstLine="922" w:firstLineChars="255"/>
        <w:rPr>
          <w:rFonts w:ascii="宋体" w:hAnsi="宋体" w:eastAsia="宋体" w:cs="宋体"/>
          <w:b/>
          <w:bCs/>
          <w:kern w:val="0"/>
          <w:sz w:val="36"/>
          <w:szCs w:val="36"/>
        </w:rPr>
      </w:pPr>
    </w:p>
    <w:p>
      <w:pPr>
        <w:pStyle w:val="16"/>
        <w:snapToGrid w:val="0"/>
        <w:spacing w:before="312" w:beforeLines="100" w:after="156" w:afterLines="50"/>
        <w:ind w:firstLine="922" w:firstLineChars="255"/>
        <w:rPr>
          <w:rFonts w:ascii="宋体" w:hAnsi="宋体" w:eastAsia="宋体" w:cs="宋体"/>
          <w:b/>
          <w:bCs/>
          <w:kern w:val="0"/>
          <w:sz w:val="36"/>
          <w:szCs w:val="36"/>
        </w:rPr>
      </w:pPr>
    </w:p>
    <w:p>
      <w:pPr>
        <w:pStyle w:val="16"/>
        <w:snapToGrid w:val="0"/>
        <w:spacing w:before="312" w:beforeLines="100" w:after="156" w:afterLines="50"/>
        <w:ind w:firstLine="922" w:firstLineChars="255"/>
        <w:rPr>
          <w:rFonts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rPr>
        <w:t>（盖章）</w:t>
      </w:r>
      <w:r>
        <w:rPr>
          <w:rFonts w:hint="eastAsia" w:ascii="宋体" w:hAnsi="宋体" w:eastAsia="宋体" w:cs="宋体"/>
          <w:b/>
          <w:bCs/>
          <w:kern w:val="0"/>
          <w:sz w:val="36"/>
          <w:szCs w:val="36"/>
        </w:rPr>
        <w:t>：</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p>
    <w:p>
      <w:pPr>
        <w:pStyle w:val="16"/>
        <w:snapToGrid w:val="0"/>
        <w:spacing w:before="312" w:beforeLines="100" w:after="156" w:afterLines="50"/>
        <w:ind w:firstLine="819" w:firstLineChars="255"/>
        <w:rPr>
          <w:rFonts w:ascii="宋体" w:hAnsi="宋体" w:eastAsia="宋体" w:cs="宋体"/>
          <w:b/>
          <w:bCs/>
          <w:kern w:val="0"/>
          <w:sz w:val="32"/>
          <w:szCs w:val="32"/>
        </w:rPr>
      </w:pPr>
    </w:p>
    <w:p>
      <w:pPr>
        <w:pStyle w:val="16"/>
        <w:snapToGrid w:val="0"/>
        <w:spacing w:before="312" w:beforeLines="100" w:after="156" w:afterLines="50"/>
        <w:ind w:left="680" w:firstLine="0" w:firstLineChars="0"/>
        <w:jc w:val="center"/>
        <w:rPr>
          <w:rFonts w:ascii="宋体" w:hAnsi="宋体" w:eastAsia="宋体" w:cs="宋体"/>
          <w:b/>
          <w:bCs/>
          <w:kern w:val="0"/>
          <w:sz w:val="32"/>
          <w:szCs w:val="32"/>
        </w:rPr>
      </w:pPr>
      <w:r>
        <w:rPr>
          <w:rFonts w:hint="eastAsia" w:ascii="宋体" w:hAnsi="宋体" w:eastAsia="宋体" w:cs="宋体"/>
          <w:b/>
          <w:bCs/>
          <w:kern w:val="0"/>
          <w:sz w:val="32"/>
          <w:szCs w:val="32"/>
        </w:rPr>
        <w:t xml:space="preserve">年 </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 xml:space="preserve"> 月  </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pPr>
        <w:rPr>
          <w:rFonts w:ascii="宋体" w:hAnsi="宋体" w:eastAsia="宋体" w:cs="宋体"/>
          <w:b/>
          <w:bCs/>
          <w:kern w:val="0"/>
          <w:sz w:val="32"/>
          <w:szCs w:val="32"/>
        </w:rPr>
      </w:pPr>
      <w:r>
        <w:rPr>
          <w:rFonts w:hint="eastAsia" w:ascii="宋体" w:hAnsi="宋体" w:eastAsia="宋体" w:cs="宋体"/>
          <w:b/>
          <w:bCs/>
          <w:kern w:val="0"/>
          <w:sz w:val="32"/>
          <w:szCs w:val="32"/>
        </w:rPr>
        <w:br w:type="page"/>
      </w:r>
    </w:p>
    <w:p>
      <w:pPr>
        <w:widowControl/>
        <w:spacing w:line="360" w:lineRule="auto"/>
        <w:jc w:val="center"/>
        <w:outlineLvl w:val="1"/>
        <w:rPr>
          <w:rFonts w:ascii="Times New Roman" w:hAnsi="Times New Roman" w:eastAsia="黑体"/>
          <w:b/>
          <w:kern w:val="0"/>
          <w:sz w:val="32"/>
          <w:szCs w:val="32"/>
        </w:rPr>
      </w:pPr>
      <w:bookmarkStart w:id="0" w:name="_Toc40447269"/>
      <w:bookmarkStart w:id="1" w:name="_Toc33698134"/>
      <w:bookmarkStart w:id="2" w:name="_Toc52036328"/>
      <w:bookmarkStart w:id="3" w:name="_Toc33709795"/>
      <w:bookmarkStart w:id="4" w:name="_Toc34051807"/>
      <w:r>
        <w:rPr>
          <w:rFonts w:ascii="Times New Roman" w:hAnsi="Times New Roman" w:eastAsia="黑体"/>
          <w:b/>
          <w:kern w:val="0"/>
          <w:sz w:val="32"/>
          <w:szCs w:val="32"/>
        </w:rPr>
        <w:t>三、承诺函</w:t>
      </w:r>
      <w:bookmarkEnd w:id="0"/>
      <w:bookmarkEnd w:id="1"/>
      <w:bookmarkEnd w:id="2"/>
      <w:bookmarkEnd w:id="3"/>
      <w:bookmarkEnd w:id="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pStyle w:val="16"/>
        <w:snapToGrid w:val="0"/>
        <w:spacing w:before="312" w:beforeLines="100" w:after="156" w:afterLines="50"/>
        <w:ind w:left="680" w:firstLine="0" w:firstLineChars="0"/>
        <w:jc w:val="center"/>
        <w:rPr>
          <w:rFonts w:ascii="宋体" w:hAnsi="宋体" w:eastAsia="宋体" w:cs="宋体"/>
          <w:b/>
          <w:bCs/>
          <w:kern w:val="0"/>
          <w:sz w:val="32"/>
          <w:szCs w:val="32"/>
        </w:rPr>
      </w:pPr>
    </w:p>
    <w:p>
      <w:pPr>
        <w:pStyle w:val="16"/>
        <w:snapToGrid w:val="0"/>
        <w:spacing w:before="312" w:beforeLines="100" w:after="156" w:afterLines="50"/>
        <w:ind w:left="680" w:firstLine="0" w:firstLineChars="0"/>
        <w:jc w:val="center"/>
        <w:rPr>
          <w:rFonts w:ascii="宋体" w:hAnsi="宋体" w:eastAsia="宋体" w:cs="宋体"/>
          <w:b/>
          <w:bCs/>
          <w:kern w:val="0"/>
          <w:sz w:val="32"/>
          <w:szCs w:val="32"/>
        </w:rPr>
      </w:pPr>
    </w:p>
    <w:p>
      <w:pPr>
        <w:pStyle w:val="9"/>
        <w:spacing w:line="500" w:lineRule="exact"/>
        <w:ind w:left="0" w:leftChars="0"/>
        <w:jc w:val="center"/>
        <w:rPr>
          <w:rFonts w:ascii="宋体" w:hAnsi="宋体" w:cs="宋体"/>
          <w:b/>
          <w:color w:val="000000"/>
          <w:sz w:val="32"/>
          <w:szCs w:val="32"/>
        </w:rPr>
      </w:pPr>
      <w:r>
        <w:rPr>
          <w:rFonts w:hint="eastAsia" w:ascii="宋体" w:hAnsi="宋体" w:cs="宋体"/>
          <w:b/>
          <w:color w:val="000000"/>
          <w:sz w:val="32"/>
          <w:szCs w:val="32"/>
        </w:rPr>
        <w:t>报价单</w:t>
      </w:r>
    </w:p>
    <w:p>
      <w:pPr>
        <w:jc w:val="left"/>
        <w:rPr>
          <w:rFonts w:ascii="宋体" w:hAnsi="宋体" w:eastAsia="宋体" w:cs="宋体"/>
          <w:sz w:val="28"/>
          <w:szCs w:val="28"/>
        </w:rPr>
      </w:pPr>
      <w:r>
        <w:rPr>
          <w:rFonts w:hint="eastAsia" w:ascii="宋体" w:hAnsi="宋体" w:eastAsia="宋体" w:cs="宋体"/>
          <w:sz w:val="28"/>
          <w:szCs w:val="28"/>
        </w:rPr>
        <w:t>致：三台县人民医院</w:t>
      </w:r>
    </w:p>
    <w:p>
      <w:pPr>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我公司根据绵阳市医疗服务价格规定在绵阳市三级甲等医院收费标准基础上统一下下浮</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jc w:val="left"/>
        <w:rPr>
          <w:rFonts w:ascii="宋体" w:hAnsi="宋体" w:eastAsia="宋体" w:cs="宋体"/>
          <w:sz w:val="28"/>
          <w:szCs w:val="28"/>
        </w:rPr>
      </w:pPr>
    </w:p>
    <w:p>
      <w:pPr>
        <w:jc w:val="left"/>
        <w:rPr>
          <w:rFonts w:ascii="宋体" w:hAnsi="宋体" w:eastAsia="宋体" w:cs="宋体"/>
          <w:sz w:val="28"/>
          <w:szCs w:val="28"/>
        </w:rPr>
      </w:pPr>
    </w:p>
    <w:p>
      <w:pPr>
        <w:rPr>
          <w:rFonts w:ascii="宋体" w:hAnsi="宋体" w:eastAsia="宋体" w:cs="宋体"/>
          <w:sz w:val="24"/>
        </w:rPr>
      </w:pPr>
      <w:r>
        <w:rPr>
          <w:rFonts w:hint="eastAsia" w:ascii="宋体" w:hAnsi="宋体" w:eastAsia="宋体" w:cs="宋体"/>
          <w:sz w:val="24"/>
        </w:rPr>
        <w:t>填表说明：</w:t>
      </w:r>
      <w:r>
        <w:rPr>
          <w:rFonts w:hint="eastAsia" w:ascii="宋体" w:hAnsi="宋体" w:cs="宋体"/>
          <w:sz w:val="28"/>
          <w:szCs w:val="28"/>
        </w:rPr>
        <w:t>供应商所报的价格须包括本服务项目相关的所有成本、费用、相关税费和合理利润等其他相关费用。</w:t>
      </w:r>
    </w:p>
    <w:p>
      <w:pPr>
        <w:spacing w:line="480" w:lineRule="auto"/>
        <w:ind w:firstLine="8640" w:firstLineChars="3600"/>
        <w:jc w:val="left"/>
        <w:rPr>
          <w:rFonts w:ascii="宋体" w:hAnsi="宋体" w:eastAsia="宋体" w:cs="宋体"/>
          <w:sz w:val="24"/>
        </w:rPr>
      </w:pPr>
    </w:p>
    <w:p>
      <w:pPr>
        <w:spacing w:line="480" w:lineRule="auto"/>
        <w:rPr>
          <w:rFonts w:ascii="宋体" w:hAnsi="宋体" w:eastAsia="宋体" w:cs="宋体"/>
          <w:sz w:val="28"/>
          <w:szCs w:val="28"/>
        </w:rPr>
      </w:pPr>
      <w:r>
        <w:rPr>
          <w:rFonts w:hint="eastAsia" w:ascii="宋体" w:hAnsi="宋体" w:eastAsia="宋体" w:cs="宋体"/>
          <w:sz w:val="28"/>
          <w:szCs w:val="28"/>
        </w:rPr>
        <w:t>单位名称（盖章）：</w:t>
      </w:r>
    </w:p>
    <w:p>
      <w:pPr>
        <w:spacing w:line="480" w:lineRule="auto"/>
        <w:rPr>
          <w:rFonts w:ascii="宋体" w:hAnsi="宋体" w:eastAsia="宋体" w:cs="宋体"/>
          <w:sz w:val="28"/>
          <w:szCs w:val="28"/>
        </w:rPr>
      </w:pPr>
      <w:r>
        <w:rPr>
          <w:rFonts w:hint="eastAsia" w:ascii="宋体" w:hAnsi="宋体" w:eastAsia="宋体" w:cs="宋体"/>
          <w:sz w:val="28"/>
          <w:szCs w:val="28"/>
        </w:rPr>
        <w:t>联 系 人：</w:t>
      </w:r>
    </w:p>
    <w:p>
      <w:pPr>
        <w:spacing w:line="480" w:lineRule="auto"/>
        <w:rPr>
          <w:rFonts w:ascii="宋体" w:hAnsi="宋体" w:eastAsia="宋体" w:cs="宋体"/>
          <w:sz w:val="28"/>
          <w:szCs w:val="28"/>
        </w:rPr>
      </w:pPr>
      <w:r>
        <w:rPr>
          <w:rFonts w:hint="eastAsia" w:ascii="宋体" w:hAnsi="宋体" w:eastAsia="宋体" w:cs="宋体"/>
          <w:sz w:val="28"/>
          <w:szCs w:val="28"/>
        </w:rPr>
        <w:t>联系电话：</w:t>
      </w:r>
    </w:p>
    <w:p>
      <w:pPr>
        <w:spacing w:line="480" w:lineRule="auto"/>
        <w:rPr>
          <w:rFonts w:ascii="宋体" w:hAnsi="宋体" w:eastAsia="宋体" w:cs="宋体"/>
          <w:b/>
          <w:color w:val="000000"/>
          <w:sz w:val="28"/>
          <w:szCs w:val="28"/>
        </w:rPr>
      </w:pPr>
      <w:r>
        <w:rPr>
          <w:rFonts w:hint="eastAsia" w:ascii="宋体" w:hAnsi="宋体" w:eastAsia="宋体" w:cs="宋体"/>
          <w:sz w:val="28"/>
          <w:szCs w:val="28"/>
        </w:rPr>
        <w:t>日    期：          年     月    日</w:t>
      </w:r>
    </w:p>
    <w:p>
      <w:pPr>
        <w:rPr>
          <w:rFonts w:ascii="宋体" w:hAnsi="宋体" w:eastAsia="宋体" w:cs="宋体"/>
          <w:b/>
          <w:color w:val="000000"/>
          <w:sz w:val="32"/>
          <w:szCs w:val="32"/>
        </w:rPr>
      </w:pPr>
      <w:r>
        <w:rPr>
          <w:rFonts w:hint="eastAsia" w:ascii="宋体" w:hAnsi="宋体" w:eastAsia="宋体" w:cs="宋体"/>
          <w:b/>
          <w:color w:val="000000"/>
          <w:sz w:val="32"/>
          <w:szCs w:val="32"/>
        </w:rPr>
        <w:br w:type="page"/>
      </w:r>
    </w:p>
    <w:p>
      <w:pPr>
        <w:pStyle w:val="9"/>
        <w:spacing w:line="500" w:lineRule="exact"/>
        <w:ind w:left="0" w:leftChars="0"/>
        <w:jc w:val="center"/>
        <w:rPr>
          <w:rFonts w:ascii="宋体" w:hAnsi="宋体" w:cs="宋体"/>
          <w:b/>
          <w:color w:val="000000"/>
          <w:sz w:val="32"/>
          <w:szCs w:val="32"/>
        </w:rPr>
      </w:pPr>
      <w:r>
        <w:rPr>
          <w:rFonts w:hint="eastAsia" w:ascii="宋体" w:hAnsi="宋体" w:cs="宋体"/>
          <w:b/>
          <w:color w:val="000000"/>
          <w:sz w:val="32"/>
          <w:szCs w:val="32"/>
        </w:rPr>
        <w:t>法定代表人身份证明</w:t>
      </w:r>
    </w:p>
    <w:p>
      <w:pPr>
        <w:spacing w:line="360" w:lineRule="auto"/>
        <w:ind w:firstLine="612"/>
        <w:rPr>
          <w:rFonts w:ascii="宋体" w:hAnsi="宋体" w:eastAsia="宋体" w:cs="宋体"/>
          <w:color w:val="000000"/>
          <w:sz w:val="28"/>
        </w:rPr>
      </w:pPr>
    </w:p>
    <w:p>
      <w:pPr>
        <w:spacing w:line="480" w:lineRule="auto"/>
        <w:ind w:firstLine="612"/>
        <w:rPr>
          <w:rFonts w:ascii="宋体" w:hAnsi="宋体" w:eastAsia="宋体" w:cs="宋体"/>
          <w:color w:val="000000"/>
          <w:sz w:val="28"/>
          <w:szCs w:val="28"/>
        </w:rPr>
      </w:pPr>
      <w:r>
        <w:rPr>
          <w:rFonts w:hint="eastAsia" w:ascii="宋体" w:hAnsi="宋体" w:eastAsia="宋体" w:cs="宋体"/>
          <w:color w:val="000000"/>
          <w:sz w:val="28"/>
          <w:szCs w:val="28"/>
        </w:rPr>
        <w:t>单位名称：</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pPr>
        <w:spacing w:line="480" w:lineRule="auto"/>
        <w:ind w:firstLine="610"/>
        <w:rPr>
          <w:rFonts w:ascii="宋体" w:hAnsi="宋体" w:eastAsia="宋体" w:cs="宋体"/>
          <w:color w:val="000000"/>
          <w:sz w:val="28"/>
          <w:szCs w:val="28"/>
          <w:u w:val="single"/>
        </w:rPr>
      </w:pPr>
      <w:r>
        <w:rPr>
          <w:rFonts w:hint="eastAsia" w:ascii="宋体" w:hAnsi="宋体" w:eastAsia="宋体" w:cs="宋体"/>
          <w:color w:val="000000"/>
          <w:sz w:val="28"/>
          <w:szCs w:val="28"/>
        </w:rPr>
        <w:t>单位性质：</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pPr>
        <w:spacing w:line="480" w:lineRule="auto"/>
        <w:ind w:firstLine="610"/>
        <w:rPr>
          <w:rFonts w:ascii="宋体" w:hAnsi="宋体" w:eastAsia="宋体" w:cs="宋体"/>
          <w:color w:val="000000"/>
          <w:sz w:val="28"/>
          <w:szCs w:val="28"/>
          <w:u w:val="single"/>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pPr>
        <w:spacing w:line="480" w:lineRule="auto"/>
        <w:ind w:firstLine="610"/>
        <w:rPr>
          <w:rFonts w:ascii="宋体" w:hAnsi="宋体" w:eastAsia="宋体" w:cs="宋体"/>
          <w:color w:val="000000"/>
          <w:sz w:val="28"/>
          <w:szCs w:val="28"/>
        </w:rPr>
      </w:pPr>
      <w:r>
        <w:rPr>
          <w:rFonts w:hint="eastAsia" w:ascii="宋体" w:hAnsi="宋体" w:eastAsia="宋体" w:cs="宋体"/>
          <w:color w:val="000000"/>
          <w:sz w:val="28"/>
          <w:szCs w:val="28"/>
        </w:rPr>
        <w:t>成立时间：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spacing w:line="480" w:lineRule="auto"/>
        <w:ind w:firstLine="610"/>
        <w:rPr>
          <w:rFonts w:ascii="宋体" w:hAnsi="宋体" w:eastAsia="宋体" w:cs="宋体"/>
          <w:color w:val="000000"/>
          <w:sz w:val="28"/>
          <w:szCs w:val="28"/>
          <w:u w:val="single"/>
        </w:rPr>
      </w:pPr>
      <w:r>
        <w:rPr>
          <w:rFonts w:hint="eastAsia" w:ascii="宋体" w:hAnsi="宋体" w:eastAsia="宋体" w:cs="宋体"/>
          <w:color w:val="000000"/>
          <w:sz w:val="28"/>
          <w:szCs w:val="28"/>
        </w:rPr>
        <w:t>经营期限：</w:t>
      </w:r>
      <w:r>
        <w:rPr>
          <w:rFonts w:hint="eastAsia" w:ascii="宋体" w:hAnsi="宋体" w:eastAsia="宋体" w:cs="宋体"/>
          <w:color w:val="000000"/>
          <w:sz w:val="28"/>
          <w:szCs w:val="28"/>
          <w:u w:val="single"/>
        </w:rPr>
        <w:t xml:space="preserve">                                          </w:t>
      </w:r>
    </w:p>
    <w:p>
      <w:pPr>
        <w:spacing w:line="480" w:lineRule="auto"/>
        <w:ind w:firstLine="610"/>
        <w:rPr>
          <w:rFonts w:ascii="宋体" w:hAnsi="宋体" w:eastAsia="宋体" w:cs="宋体"/>
          <w:color w:val="000000"/>
          <w:sz w:val="28"/>
          <w:szCs w:val="28"/>
          <w:u w:val="single"/>
        </w:rPr>
      </w:pPr>
      <w:r>
        <w:rPr>
          <w:rFonts w:hint="eastAsia" w:ascii="宋体" w:hAnsi="宋体" w:eastAsia="宋体" w:cs="宋体"/>
          <w:color w:val="000000"/>
          <w:sz w:val="28"/>
          <w:szCs w:val="28"/>
        </w:rPr>
        <w:t>姓  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性别：</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职务：</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p>
    <w:p>
      <w:pPr>
        <w:spacing w:line="480" w:lineRule="auto"/>
        <w:rPr>
          <w:rFonts w:ascii="宋体" w:hAnsi="宋体" w:eastAsia="宋体" w:cs="宋体"/>
          <w:color w:val="000000"/>
          <w:sz w:val="28"/>
          <w:szCs w:val="28"/>
        </w:rPr>
      </w:pP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（供应商单位名称）                     </w:t>
      </w:r>
      <w:r>
        <w:rPr>
          <w:rFonts w:hint="eastAsia" w:ascii="宋体" w:hAnsi="宋体" w:eastAsia="宋体" w:cs="宋体"/>
          <w:color w:val="000000"/>
          <w:sz w:val="28"/>
          <w:szCs w:val="28"/>
        </w:rPr>
        <w:t>的法定代表人。</w:t>
      </w:r>
    </w:p>
    <w:p>
      <w:pPr>
        <w:spacing w:line="360" w:lineRule="auto"/>
        <w:ind w:firstLine="610"/>
        <w:rPr>
          <w:rFonts w:ascii="宋体" w:hAnsi="宋体" w:eastAsia="宋体" w:cs="宋体"/>
          <w:color w:val="000000"/>
          <w:sz w:val="28"/>
          <w:szCs w:val="28"/>
        </w:rPr>
      </w:pPr>
    </w:p>
    <w:p>
      <w:pPr>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特此证明。</w:t>
      </w:r>
    </w:p>
    <w:p>
      <w:pPr>
        <w:tabs>
          <w:tab w:val="left" w:pos="720"/>
          <w:tab w:val="left" w:pos="900"/>
        </w:tabs>
        <w:spacing w:line="360" w:lineRule="auto"/>
        <w:ind w:firstLine="560" w:firstLineChars="200"/>
        <w:rPr>
          <w:rFonts w:ascii="宋体" w:hAnsi="宋体" w:eastAsia="宋体" w:cs="宋体"/>
          <w:color w:val="000000"/>
          <w:sz w:val="28"/>
          <w:szCs w:val="28"/>
        </w:rPr>
      </w:pPr>
    </w:p>
    <w:p>
      <w:pPr>
        <w:tabs>
          <w:tab w:val="left" w:pos="720"/>
          <w:tab w:val="left" w:pos="900"/>
        </w:tabs>
        <w:spacing w:line="360" w:lineRule="auto"/>
        <w:jc w:val="center"/>
        <w:rPr>
          <w:rFonts w:ascii="宋体" w:hAnsi="宋体" w:eastAsia="宋体" w:cs="宋体"/>
          <w:color w:val="000000"/>
          <w:sz w:val="28"/>
          <w:szCs w:val="28"/>
        </w:rPr>
      </w:pPr>
      <w:r>
        <w:rPr>
          <w:rFonts w:hint="eastAsia" w:ascii="宋体" w:hAnsi="宋体" w:eastAsia="宋体" w:cs="宋体"/>
          <w:color w:val="000000"/>
          <w:sz w:val="28"/>
          <w:szCs w:val="28"/>
        </w:rPr>
        <w:t xml:space="preserve">      </w:t>
      </w:r>
    </w:p>
    <w:p>
      <w:pPr>
        <w:tabs>
          <w:tab w:val="left" w:pos="720"/>
          <w:tab w:val="left" w:pos="900"/>
        </w:tabs>
        <w:spacing w:line="360" w:lineRule="auto"/>
        <w:ind w:firstLine="560" w:firstLineChars="200"/>
        <w:rPr>
          <w:rFonts w:ascii="宋体" w:hAnsi="宋体" w:eastAsia="宋体" w:cs="宋体"/>
          <w:color w:val="000000"/>
          <w:sz w:val="28"/>
          <w:szCs w:val="28"/>
          <w:u w:val="thick"/>
        </w:rPr>
      </w:pPr>
      <w:r>
        <w:rPr>
          <w:rFonts w:hint="eastAsia" w:ascii="宋体" w:hAnsi="宋体" w:eastAsia="宋体" w:cs="宋体"/>
          <w:color w:val="000000"/>
          <w:sz w:val="28"/>
          <w:szCs w:val="28"/>
        </w:rPr>
        <w:t>供应商（盖章）：</w:t>
      </w:r>
    </w:p>
    <w:p>
      <w:pPr>
        <w:tabs>
          <w:tab w:val="left" w:pos="720"/>
          <w:tab w:val="left" w:pos="900"/>
        </w:tabs>
        <w:spacing w:line="480" w:lineRule="auto"/>
        <w:ind w:right="600" w:firstLine="560" w:firstLineChars="200"/>
        <w:rPr>
          <w:rFonts w:ascii="宋体" w:hAnsi="宋体" w:eastAsia="宋体" w:cs="宋体"/>
          <w:color w:val="000000"/>
          <w:sz w:val="28"/>
          <w:szCs w:val="28"/>
          <w:u w:val="single"/>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日 </w:t>
      </w:r>
    </w:p>
    <w:p>
      <w:pPr>
        <w:tabs>
          <w:tab w:val="left" w:pos="720"/>
          <w:tab w:val="left" w:pos="900"/>
        </w:tabs>
        <w:spacing w:line="480" w:lineRule="auto"/>
        <w:ind w:right="600" w:firstLine="3720" w:firstLineChars="1550"/>
        <w:rPr>
          <w:rFonts w:ascii="宋体" w:hAnsi="宋体" w:eastAsia="宋体" w:cs="宋体"/>
          <w:color w:val="000000"/>
          <w:sz w:val="24"/>
          <w:u w:val="single"/>
        </w:rPr>
      </w:pPr>
    </w:p>
    <w:p>
      <w:pPr>
        <w:tabs>
          <w:tab w:val="left" w:pos="720"/>
          <w:tab w:val="left" w:pos="900"/>
        </w:tabs>
        <w:spacing w:line="480" w:lineRule="auto"/>
        <w:ind w:right="600" w:firstLine="3720" w:firstLineChars="1550"/>
        <w:rPr>
          <w:rFonts w:ascii="宋体" w:hAnsi="宋体" w:eastAsia="宋体" w:cs="宋体"/>
          <w:color w:val="000000"/>
          <w:sz w:val="24"/>
          <w:u w:val="single"/>
        </w:rPr>
      </w:pPr>
    </w:p>
    <w:p>
      <w:pPr>
        <w:tabs>
          <w:tab w:val="left" w:pos="720"/>
          <w:tab w:val="left" w:pos="900"/>
        </w:tabs>
        <w:spacing w:line="480" w:lineRule="auto"/>
        <w:ind w:right="600"/>
        <w:rPr>
          <w:rFonts w:ascii="宋体" w:hAnsi="宋体" w:eastAsia="宋体" w:cs="宋体"/>
          <w:color w:val="000000"/>
          <w:sz w:val="22"/>
        </w:rPr>
      </w:pPr>
      <w:r>
        <w:rPr>
          <w:rFonts w:hint="eastAsia" w:ascii="宋体" w:hAnsi="宋体" w:eastAsia="宋体" w:cs="宋体"/>
          <w:color w:val="000000"/>
          <w:sz w:val="22"/>
        </w:rPr>
        <w:t>附：法定代表人身份证复印件。</w:t>
      </w:r>
    </w:p>
    <w:p>
      <w:pPr>
        <w:tabs>
          <w:tab w:val="left" w:pos="720"/>
          <w:tab w:val="left" w:pos="900"/>
        </w:tabs>
        <w:spacing w:line="480" w:lineRule="auto"/>
        <w:ind w:right="600"/>
        <w:rPr>
          <w:rFonts w:ascii="宋体" w:hAnsi="宋体" w:eastAsia="宋体" w:cs="宋体"/>
          <w:b/>
          <w:color w:val="000000"/>
          <w:sz w:val="32"/>
          <w:szCs w:val="32"/>
        </w:rPr>
      </w:pPr>
      <w:r>
        <w:rPr>
          <w:rFonts w:hint="eastAsia" w:ascii="宋体" w:hAnsi="宋体" w:eastAsia="宋体" w:cs="宋体"/>
          <w:color w:val="000000"/>
          <w:sz w:val="22"/>
        </w:rPr>
        <w:t>注：法定代表人亲自投标而不委托授权代理人投标适用。</w:t>
      </w:r>
    </w:p>
    <w:p>
      <w:pPr>
        <w:rPr>
          <w:rFonts w:ascii="宋体" w:hAnsi="宋体" w:eastAsia="宋体" w:cs="宋体"/>
          <w:b/>
          <w:color w:val="000000"/>
          <w:sz w:val="32"/>
          <w:szCs w:val="32"/>
        </w:rPr>
      </w:pPr>
      <w:r>
        <w:rPr>
          <w:rFonts w:hint="eastAsia" w:ascii="宋体" w:hAnsi="宋体" w:eastAsia="宋体" w:cs="宋体"/>
          <w:b/>
          <w:color w:val="000000"/>
          <w:sz w:val="32"/>
          <w:szCs w:val="32"/>
        </w:rPr>
        <w:br w:type="page"/>
      </w:r>
    </w:p>
    <w:p>
      <w:pPr>
        <w:pStyle w:val="9"/>
        <w:spacing w:line="500" w:lineRule="exact"/>
        <w:ind w:left="0" w:leftChars="0"/>
        <w:jc w:val="center"/>
        <w:rPr>
          <w:rFonts w:ascii="宋体" w:hAnsi="宋体" w:cs="宋体"/>
          <w:b/>
          <w:color w:val="000000"/>
          <w:sz w:val="32"/>
          <w:szCs w:val="32"/>
        </w:rPr>
      </w:pPr>
      <w:r>
        <w:rPr>
          <w:rFonts w:hint="eastAsia" w:ascii="宋体" w:hAnsi="宋体" w:cs="宋体"/>
          <w:b/>
          <w:color w:val="000000"/>
          <w:sz w:val="32"/>
          <w:szCs w:val="32"/>
        </w:rPr>
        <w:t>法定代表人授权委托书</w:t>
      </w:r>
    </w:p>
    <w:p>
      <w:pPr>
        <w:spacing w:line="480" w:lineRule="auto"/>
        <w:ind w:firstLine="562" w:firstLineChars="201"/>
        <w:rPr>
          <w:rFonts w:hint="eastAsia" w:ascii="宋体" w:hAnsi="宋体" w:eastAsia="宋体" w:cs="宋体"/>
          <w:color w:val="000000"/>
          <w:sz w:val="28"/>
          <w:szCs w:val="28"/>
        </w:rPr>
      </w:pPr>
    </w:p>
    <w:p>
      <w:pPr>
        <w:spacing w:line="480" w:lineRule="auto"/>
        <w:ind w:firstLine="562" w:firstLineChars="201"/>
        <w:rPr>
          <w:rFonts w:ascii="宋体" w:hAnsi="宋体" w:eastAsia="宋体" w:cs="宋体"/>
          <w:color w:val="000000"/>
          <w:sz w:val="28"/>
          <w:szCs w:val="28"/>
        </w:rPr>
      </w:pPr>
      <w:r>
        <w:rPr>
          <w:rFonts w:hint="eastAsia" w:ascii="宋体" w:hAnsi="宋体" w:eastAsia="宋体" w:cs="宋体"/>
          <w:color w:val="000000"/>
          <w:sz w:val="28"/>
          <w:szCs w:val="28"/>
        </w:rPr>
        <w:t>本授权委托书声明：我</w:t>
      </w:r>
      <w:r>
        <w:rPr>
          <w:rFonts w:hint="eastAsia" w:ascii="宋体" w:hAnsi="宋体" w:eastAsia="宋体" w:cs="宋体"/>
          <w:color w:val="000000"/>
          <w:sz w:val="28"/>
          <w:szCs w:val="28"/>
          <w:u w:val="single"/>
        </w:rPr>
        <w:t xml:space="preserve">    （姓名 ）     </w:t>
      </w: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（供应商）      </w:t>
      </w:r>
      <w:r>
        <w:rPr>
          <w:rFonts w:hint="eastAsia" w:ascii="宋体" w:hAnsi="宋体" w:eastAsia="宋体" w:cs="宋体"/>
          <w:color w:val="000000"/>
          <w:sz w:val="28"/>
          <w:szCs w:val="28"/>
        </w:rPr>
        <w:t>的法定代表人，现授权委托</w:t>
      </w:r>
      <w:r>
        <w:rPr>
          <w:rFonts w:hint="eastAsia" w:ascii="宋体" w:hAnsi="宋体" w:eastAsia="宋体" w:cs="宋体"/>
          <w:color w:val="000000"/>
          <w:sz w:val="28"/>
          <w:szCs w:val="28"/>
          <w:u w:val="single"/>
        </w:rPr>
        <w:t xml:space="preserve">    （单位名称）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（姓名） </w:t>
      </w:r>
      <w:r>
        <w:rPr>
          <w:rFonts w:hint="eastAsia" w:ascii="宋体" w:hAnsi="宋体" w:eastAsia="宋体" w:cs="宋体"/>
          <w:color w:val="000000"/>
          <w:sz w:val="28"/>
          <w:szCs w:val="28"/>
        </w:rPr>
        <w:t>为我公司代理人，以本公司的名义参加</w:t>
      </w:r>
      <w:r>
        <w:rPr>
          <w:rFonts w:hint="eastAsia" w:ascii="宋体" w:hAnsi="宋体" w:eastAsia="宋体" w:cs="宋体"/>
          <w:color w:val="000000"/>
          <w:sz w:val="28"/>
          <w:szCs w:val="28"/>
          <w:u w:val="single"/>
        </w:rPr>
        <w:t xml:space="preserve">    （招标人）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（项目名称）  </w:t>
      </w:r>
      <w:r>
        <w:rPr>
          <w:rFonts w:hint="eastAsia" w:ascii="宋体" w:hAnsi="宋体" w:eastAsia="宋体" w:cs="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代理人无权转让此授权委托书，特此委托。</w:t>
      </w:r>
    </w:p>
    <w:p>
      <w:pPr>
        <w:spacing w:line="360" w:lineRule="auto"/>
        <w:rPr>
          <w:rFonts w:ascii="宋体" w:hAnsi="宋体" w:eastAsia="宋体" w:cs="宋体"/>
          <w:color w:val="000000"/>
          <w:sz w:val="28"/>
          <w:szCs w:val="28"/>
        </w:rPr>
      </w:pPr>
    </w:p>
    <w:p>
      <w:pPr>
        <w:spacing w:line="480" w:lineRule="auto"/>
        <w:ind w:firstLine="560" w:firstLineChars="200"/>
        <w:rPr>
          <w:rFonts w:ascii="宋体" w:hAnsi="宋体" w:eastAsia="宋体" w:cs="宋体"/>
          <w:color w:val="000000"/>
          <w:sz w:val="28"/>
          <w:szCs w:val="28"/>
        </w:rPr>
      </w:pPr>
    </w:p>
    <w:p>
      <w:pPr>
        <w:tabs>
          <w:tab w:val="left" w:pos="2295"/>
        </w:tabs>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供应商（盖章）：</w:t>
      </w:r>
    </w:p>
    <w:p>
      <w:pPr>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法定代表人（签字或盖章）：</w:t>
      </w:r>
    </w:p>
    <w:p>
      <w:pPr>
        <w:spacing w:line="48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授权代表（签字或盖章）：</w:t>
      </w:r>
    </w:p>
    <w:p>
      <w:pPr>
        <w:spacing w:line="48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widowControl/>
        <w:spacing w:line="330" w:lineRule="atLeast"/>
        <w:jc w:val="center"/>
        <w:rPr>
          <w:rFonts w:ascii="宋体" w:hAnsi="宋体" w:eastAsia="宋体" w:cs="宋体"/>
          <w:bCs/>
          <w:color w:val="000000"/>
          <w:kern w:val="0"/>
          <w:sz w:val="30"/>
          <w:szCs w:val="30"/>
        </w:rPr>
      </w:pPr>
    </w:p>
    <w:p>
      <w:pPr>
        <w:widowControl/>
        <w:spacing w:line="330" w:lineRule="atLeast"/>
        <w:jc w:val="center"/>
        <w:rPr>
          <w:rFonts w:ascii="宋体" w:hAnsi="宋体" w:eastAsia="宋体" w:cs="宋体"/>
          <w:bCs/>
          <w:color w:val="000000"/>
          <w:kern w:val="0"/>
          <w:sz w:val="30"/>
          <w:szCs w:val="30"/>
        </w:rPr>
      </w:pPr>
    </w:p>
    <w:p>
      <w:pPr>
        <w:widowControl/>
        <w:spacing w:line="330" w:lineRule="atLeast"/>
        <w:jc w:val="left"/>
        <w:rPr>
          <w:rFonts w:ascii="宋体" w:hAnsi="宋体" w:eastAsia="宋体" w:cs="宋体"/>
          <w:bCs/>
          <w:color w:val="000000"/>
          <w:kern w:val="0"/>
          <w:sz w:val="22"/>
        </w:rPr>
      </w:pPr>
      <w:r>
        <w:rPr>
          <w:rFonts w:hint="eastAsia" w:ascii="宋体" w:hAnsi="宋体" w:eastAsia="宋体" w:cs="宋体"/>
          <w:bCs/>
          <w:color w:val="000000"/>
          <w:kern w:val="0"/>
          <w:sz w:val="22"/>
        </w:rPr>
        <w:t>附：（1）法定代表人身份证明原件和法定代表人身份证复印件。</w:t>
      </w:r>
    </w:p>
    <w:p>
      <w:pPr>
        <w:widowControl/>
        <w:spacing w:line="330" w:lineRule="atLeast"/>
        <w:ind w:firstLine="440" w:firstLineChars="200"/>
        <w:jc w:val="left"/>
        <w:rPr>
          <w:rFonts w:ascii="宋体" w:hAnsi="宋体" w:eastAsia="宋体" w:cs="宋体"/>
          <w:bCs/>
          <w:color w:val="000000"/>
          <w:kern w:val="0"/>
          <w:sz w:val="22"/>
        </w:rPr>
      </w:pPr>
      <w:r>
        <w:rPr>
          <w:rFonts w:hint="eastAsia" w:ascii="宋体" w:hAnsi="宋体" w:eastAsia="宋体" w:cs="宋体"/>
          <w:bCs/>
          <w:color w:val="000000"/>
          <w:kern w:val="0"/>
          <w:sz w:val="22"/>
        </w:rPr>
        <w:t>（2）授权委托人身份证复印件。</w:t>
      </w:r>
    </w:p>
    <w:p>
      <w:pPr>
        <w:widowControl/>
        <w:spacing w:line="330" w:lineRule="atLeast"/>
        <w:jc w:val="left"/>
        <w:rPr>
          <w:rFonts w:ascii="宋体" w:hAnsi="宋体" w:eastAsia="宋体" w:cs="宋体"/>
          <w:bCs/>
          <w:color w:val="000000"/>
          <w:kern w:val="0"/>
          <w:sz w:val="22"/>
        </w:rPr>
      </w:pPr>
    </w:p>
    <w:p>
      <w:pPr>
        <w:widowControl/>
        <w:spacing w:line="330" w:lineRule="atLeast"/>
        <w:jc w:val="left"/>
        <w:rPr>
          <w:rFonts w:ascii="宋体" w:hAnsi="宋体" w:eastAsia="宋体" w:cs="宋体"/>
          <w:bCs/>
          <w:color w:val="000000"/>
          <w:kern w:val="0"/>
          <w:sz w:val="22"/>
        </w:rPr>
      </w:pPr>
      <w:r>
        <w:rPr>
          <w:rFonts w:hint="eastAsia" w:ascii="宋体" w:hAnsi="宋体" w:eastAsia="宋体" w:cs="宋体"/>
          <w:bCs/>
          <w:color w:val="000000"/>
          <w:kern w:val="0"/>
          <w:sz w:val="22"/>
        </w:rPr>
        <w:t>注：法定代表人不亲自投标而委托授权代理人投标适用。</w:t>
      </w:r>
    </w:p>
    <w:p>
      <w:pPr>
        <w:rPr>
          <w:rFonts w:ascii="宋体" w:hAnsi="宋体" w:eastAsia="宋体" w:cs="宋体"/>
          <w:b/>
          <w:color w:val="000000"/>
          <w:sz w:val="32"/>
          <w:szCs w:val="32"/>
        </w:rPr>
      </w:pPr>
      <w:r>
        <w:rPr>
          <w:rFonts w:hint="eastAsia" w:ascii="宋体" w:hAnsi="宋体" w:eastAsia="宋体" w:cs="宋体"/>
          <w:b/>
          <w:color w:val="000000"/>
          <w:sz w:val="32"/>
          <w:szCs w:val="32"/>
        </w:rPr>
        <w:br w:type="page"/>
      </w:r>
    </w:p>
    <w:p>
      <w:pPr>
        <w:pStyle w:val="9"/>
        <w:spacing w:line="500" w:lineRule="exact"/>
        <w:ind w:left="0" w:leftChars="0"/>
        <w:jc w:val="center"/>
        <w:rPr>
          <w:rFonts w:hint="eastAsia" w:ascii="宋体" w:hAnsi="宋体" w:cs="宋体"/>
          <w:b/>
          <w:color w:val="000000"/>
          <w:sz w:val="32"/>
          <w:szCs w:val="32"/>
          <w:lang w:eastAsia="zh-CN"/>
        </w:rPr>
      </w:pPr>
      <w:r>
        <w:rPr>
          <w:rFonts w:hint="eastAsia" w:ascii="宋体" w:hAnsi="宋体" w:cs="宋体"/>
          <w:b/>
          <w:color w:val="000000"/>
          <w:sz w:val="32"/>
          <w:szCs w:val="32"/>
          <w:lang w:eastAsia="zh-CN"/>
        </w:rPr>
        <w:t>供应商资质证明文件（加盖鲜章）</w:t>
      </w: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ascii="宋体" w:hAnsi="宋体" w:cs="宋体"/>
          <w:b/>
          <w:color w:val="000000"/>
          <w:sz w:val="24"/>
        </w:rPr>
      </w:pPr>
      <w:r>
        <w:rPr>
          <w:rFonts w:hint="eastAsia" w:ascii="宋体" w:hAnsi="宋体" w:cs="宋体"/>
          <w:b/>
          <w:color w:val="000000"/>
          <w:sz w:val="32"/>
          <w:szCs w:val="32"/>
        </w:rPr>
        <w:t>业绩、</w:t>
      </w:r>
      <w:r>
        <w:rPr>
          <w:rFonts w:hint="eastAsia" w:ascii="宋体" w:hAnsi="宋体" w:cs="宋体"/>
          <w:b/>
          <w:color w:val="000000"/>
          <w:sz w:val="32"/>
          <w:szCs w:val="32"/>
          <w:lang w:eastAsia="zh-CN"/>
        </w:rPr>
        <w:t>服务能力、</w:t>
      </w:r>
      <w:r>
        <w:rPr>
          <w:rFonts w:hint="eastAsia" w:ascii="宋体" w:hAnsi="宋体" w:cs="宋体"/>
          <w:b/>
          <w:color w:val="000000"/>
          <w:sz w:val="32"/>
          <w:szCs w:val="32"/>
        </w:rPr>
        <w:t>服务方案</w:t>
      </w:r>
      <w:r>
        <w:rPr>
          <w:rFonts w:hint="eastAsia" w:ascii="宋体" w:hAnsi="宋体" w:cs="宋体"/>
          <w:b/>
          <w:color w:val="000000"/>
          <w:sz w:val="32"/>
          <w:szCs w:val="32"/>
          <w:lang w:eastAsia="zh-CN"/>
        </w:rPr>
        <w:t>等</w:t>
      </w:r>
      <w:r>
        <w:rPr>
          <w:rFonts w:hint="eastAsia" w:ascii="宋体" w:hAnsi="宋体" w:cs="宋体"/>
          <w:b/>
          <w:color w:val="000000"/>
          <w:sz w:val="24"/>
        </w:rPr>
        <w:t>（格式自拟，加盖鲜章）</w:t>
      </w:r>
    </w:p>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000000"/>
    <w:rsid w:val="2EA530BE"/>
    <w:rsid w:val="577A5621"/>
    <w:rsid w:val="69B263BA"/>
    <w:rsid w:val="71A243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Times New Roman" w:hAnsi="Times New Roman" w:eastAsia="宋体" w:cs="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5">
    <w:name w:val="Normal Indent"/>
    <w:basedOn w:val="1"/>
    <w:next w:val="1"/>
    <w:qFormat/>
    <w:uiPriority w:val="0"/>
    <w:pPr>
      <w:ind w:firstLine="420"/>
    </w:pPr>
    <w:rPr>
      <w:rFonts w:ascii="Times New Roman" w:hAnsi="Times New Roman" w:eastAsia="宋体" w:cs="Times New Roman"/>
    </w:rPr>
  </w:style>
  <w:style w:type="paragraph" w:styleId="6">
    <w:name w:val="Balloon Text"/>
    <w:basedOn w:val="1"/>
    <w:link w:val="14"/>
    <w:qFormat/>
    <w:uiPriority w:val="0"/>
    <w:rPr>
      <w:sz w:val="18"/>
      <w:szCs w:val="18"/>
    </w:rPr>
  </w:style>
  <w:style w:type="paragraph" w:styleId="7">
    <w:name w:val="footer"/>
    <w:basedOn w:val="1"/>
    <w:link w:val="26"/>
    <w:qFormat/>
    <w:uiPriority w:val="0"/>
    <w:pPr>
      <w:tabs>
        <w:tab w:val="center" w:pos="4153"/>
        <w:tab w:val="right" w:pos="8306"/>
      </w:tabs>
      <w:snapToGrid w:val="0"/>
      <w:jc w:val="left"/>
    </w:pPr>
    <w:rPr>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9">
    <w:name w:val="List Continue 2"/>
    <w:qFormat/>
    <w:uiPriority w:val="0"/>
    <w:pPr>
      <w:widowControl w:val="0"/>
      <w:spacing w:after="120"/>
      <w:ind w:left="840" w:leftChars="400"/>
      <w:jc w:val="both"/>
    </w:pPr>
    <w:rPr>
      <w:rFonts w:ascii="Times New Roman" w:hAnsi="Times New Roman" w:eastAsia="宋体" w:cs="Times New Roman"/>
      <w:kern w:val="2"/>
      <w:sz w:val="21"/>
      <w:szCs w:val="24"/>
      <w:lang w:val="en-US" w:eastAsia="zh-CN" w:bidi="ar-SA"/>
    </w:rPr>
  </w:style>
  <w:style w:type="table" w:styleId="1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character" w:customStyle="1" w:styleId="14">
    <w:name w:val="批注框文本 Char"/>
    <w:basedOn w:val="12"/>
    <w:link w:val="6"/>
    <w:qFormat/>
    <w:uiPriority w:val="0"/>
    <w:rPr>
      <w:rFonts w:ascii="Calibri" w:hAnsi="Calibri" w:eastAsia="宋体" w:cs="宋体"/>
      <w:kern w:val="2"/>
      <w:sz w:val="18"/>
      <w:szCs w:val="18"/>
    </w:rPr>
  </w:style>
  <w:style w:type="paragraph" w:customStyle="1" w:styleId="15">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6">
    <w:name w:val="GW-正文"/>
    <w:qFormat/>
    <w:uiPriority w:val="0"/>
    <w:pPr>
      <w:widowControl w:val="0"/>
      <w:spacing w:line="360" w:lineRule="auto"/>
      <w:ind w:firstLine="200" w:firstLineChars="200"/>
      <w:jc w:val="both"/>
    </w:pPr>
    <w:rPr>
      <w:rFonts w:ascii="仿宋_GB2312" w:hAnsi="仿宋_GB2312" w:eastAsia="仿宋_GB2312" w:cs="Times New Roman"/>
      <w:kern w:val="2"/>
      <w:sz w:val="24"/>
      <w:szCs w:val="24"/>
      <w:lang w:val="en-US" w:eastAsia="zh-CN" w:bidi="ar-SA"/>
    </w:rPr>
  </w:style>
  <w:style w:type="character" w:customStyle="1" w:styleId="17">
    <w:name w:val="font71"/>
    <w:basedOn w:val="12"/>
    <w:qFormat/>
    <w:uiPriority w:val="0"/>
    <w:rPr>
      <w:rFonts w:hint="eastAsia" w:ascii="宋体" w:hAnsi="宋体" w:eastAsia="宋体" w:cs="宋体"/>
      <w:color w:val="000000"/>
      <w:sz w:val="18"/>
      <w:szCs w:val="18"/>
      <w:u w:val="none"/>
    </w:rPr>
  </w:style>
  <w:style w:type="character" w:customStyle="1" w:styleId="18">
    <w:name w:val="font61"/>
    <w:basedOn w:val="12"/>
    <w:qFormat/>
    <w:uiPriority w:val="0"/>
    <w:rPr>
      <w:rFonts w:ascii="Arial" w:hAnsi="Arial" w:cs="Arial"/>
      <w:color w:val="000000"/>
      <w:sz w:val="18"/>
      <w:szCs w:val="18"/>
      <w:u w:val="none"/>
    </w:rPr>
  </w:style>
  <w:style w:type="character" w:customStyle="1" w:styleId="19">
    <w:name w:val="font81"/>
    <w:basedOn w:val="12"/>
    <w:qFormat/>
    <w:uiPriority w:val="0"/>
    <w:rPr>
      <w:rFonts w:hint="eastAsia" w:ascii="宋体" w:hAnsi="宋体" w:eastAsia="宋体" w:cs="宋体"/>
      <w:color w:val="000000"/>
      <w:sz w:val="18"/>
      <w:szCs w:val="18"/>
      <w:u w:val="none"/>
    </w:rPr>
  </w:style>
  <w:style w:type="character" w:customStyle="1" w:styleId="20">
    <w:name w:val="font41"/>
    <w:basedOn w:val="12"/>
    <w:qFormat/>
    <w:uiPriority w:val="0"/>
    <w:rPr>
      <w:rFonts w:ascii="微软雅黑" w:hAnsi="微软雅黑" w:eastAsia="微软雅黑" w:cs="微软雅黑"/>
      <w:color w:val="000000"/>
      <w:sz w:val="18"/>
      <w:szCs w:val="18"/>
      <w:u w:val="none"/>
    </w:rPr>
  </w:style>
  <w:style w:type="character" w:customStyle="1" w:styleId="21">
    <w:name w:val="font11"/>
    <w:basedOn w:val="12"/>
    <w:qFormat/>
    <w:uiPriority w:val="0"/>
    <w:rPr>
      <w:rFonts w:hint="default" w:ascii="Arial" w:hAnsi="Arial" w:cs="Arial"/>
      <w:color w:val="000000"/>
      <w:sz w:val="20"/>
      <w:szCs w:val="20"/>
      <w:u w:val="none"/>
    </w:rPr>
  </w:style>
  <w:style w:type="character" w:customStyle="1" w:styleId="22">
    <w:name w:val="font51"/>
    <w:basedOn w:val="12"/>
    <w:qFormat/>
    <w:uiPriority w:val="0"/>
    <w:rPr>
      <w:rFonts w:hint="eastAsia" w:ascii="宋体" w:hAnsi="宋体" w:eastAsia="宋体" w:cs="宋体"/>
      <w:color w:val="000000"/>
      <w:sz w:val="20"/>
      <w:szCs w:val="20"/>
      <w:u w:val="none"/>
    </w:rPr>
  </w:style>
  <w:style w:type="character" w:customStyle="1" w:styleId="23">
    <w:name w:val="font01"/>
    <w:basedOn w:val="12"/>
    <w:qFormat/>
    <w:uiPriority w:val="0"/>
    <w:rPr>
      <w:rFonts w:hint="default" w:ascii="Arial" w:hAnsi="Arial" w:cs="Arial"/>
      <w:color w:val="000000"/>
      <w:sz w:val="20"/>
      <w:szCs w:val="20"/>
      <w:u w:val="none"/>
    </w:rPr>
  </w:style>
  <w:style w:type="character" w:customStyle="1" w:styleId="24">
    <w:name w:val="font21"/>
    <w:basedOn w:val="12"/>
    <w:qFormat/>
    <w:uiPriority w:val="0"/>
    <w:rPr>
      <w:rFonts w:hint="eastAsia" w:ascii="宋体" w:hAnsi="宋体" w:eastAsia="宋体" w:cs="宋体"/>
      <w:color w:val="000000"/>
      <w:sz w:val="18"/>
      <w:szCs w:val="18"/>
      <w:u w:val="none"/>
    </w:rPr>
  </w:style>
  <w:style w:type="character" w:customStyle="1" w:styleId="25">
    <w:name w:val="页眉 Char"/>
    <w:basedOn w:val="12"/>
    <w:link w:val="8"/>
    <w:qFormat/>
    <w:uiPriority w:val="0"/>
    <w:rPr>
      <w:rFonts w:ascii="Calibri" w:hAnsi="Calibri" w:eastAsia="宋体" w:cs="宋体"/>
      <w:kern w:val="2"/>
      <w:sz w:val="18"/>
      <w:szCs w:val="18"/>
    </w:rPr>
  </w:style>
  <w:style w:type="character" w:customStyle="1" w:styleId="26">
    <w:name w:val="页脚 Char"/>
    <w:basedOn w:val="12"/>
    <w:link w:val="7"/>
    <w:qFormat/>
    <w:uiPriority w:val="0"/>
    <w:rPr>
      <w:rFonts w:ascii="Calibri" w:hAnsi="Calibri" w:eastAsia="宋体" w:cs="宋体"/>
      <w:kern w:val="2"/>
      <w:sz w:val="18"/>
      <w:szCs w:val="18"/>
    </w:rPr>
  </w:style>
  <w:style w:type="paragraph" w:customStyle="1" w:styleId="27">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5073</Words>
  <Characters>5431</Characters>
  <Paragraphs>442</Paragraphs>
  <TotalTime>2</TotalTime>
  <ScaleCrop>false</ScaleCrop>
  <LinksUpToDate>false</LinksUpToDate>
  <CharactersWithSpaces>6134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2021-11-09T06:37:00Z</dcterms:created>
  <dc:creator>Lenovo</dc:creator>
  <cp:lastModifiedBy>燕子</cp:lastModifiedBy>
  <dcterms:modified xsi:type="dcterms:W3CDTF">2023-08-22T02:11:36Z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70A5B06950A83623DBF8DA64625B71F9_43</vt:lpwstr>
  </property>
</Properties>
</file>