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bookmarkStart w:id="0" w:name="_Toc52036320"/>
      <w:r>
        <w:rPr>
          <w:rFonts w:hint="eastAsia" w:ascii="宋体" w:hAnsi="宋体" w:eastAsia="宋体" w:cs="宋体"/>
          <w:b/>
          <w:bCs/>
          <w:sz w:val="84"/>
          <w:szCs w:val="84"/>
        </w:rPr>
        <w:t>三台县人民医院</w:t>
      </w:r>
    </w:p>
    <w:p>
      <w:pPr>
        <w:pStyle w:val="7"/>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pPr>
        <w:pStyle w:val="22"/>
        <w:rPr>
          <w:rFonts w:hint="eastAsia" w:ascii="宋体" w:hAnsi="宋体" w:eastAsia="宋体" w:cs="宋体"/>
          <w:b/>
          <w:bCs/>
          <w:sz w:val="52"/>
          <w:szCs w:val="52"/>
          <w:lang w:eastAsia="zh-CN"/>
        </w:rPr>
      </w:pPr>
    </w:p>
    <w:p>
      <w:pPr>
        <w:pStyle w:val="22"/>
        <w:rPr>
          <w:rFonts w:hint="eastAsia" w:ascii="宋体" w:hAnsi="宋体" w:eastAsia="宋体" w:cs="宋体"/>
          <w:b/>
          <w:bCs/>
          <w:sz w:val="52"/>
          <w:szCs w:val="52"/>
          <w:lang w:eastAsia="zh-CN"/>
        </w:rPr>
      </w:pPr>
    </w:p>
    <w:p>
      <w:pPr>
        <w:widowControl/>
        <w:shd w:val="clear" w:color="auto" w:fill="FFFFFF"/>
        <w:snapToGrid w:val="0"/>
        <w:spacing w:line="480" w:lineRule="auto"/>
        <w:ind w:left="2610" w:hanging="2610" w:hangingChars="500"/>
        <w:jc w:val="both"/>
        <w:rPr>
          <w:rFonts w:hint="eastAsia" w:ascii="宋体" w:hAnsi="宋体" w:eastAsia="宋体" w:cs="宋体"/>
          <w:b/>
          <w:bCs/>
          <w:sz w:val="52"/>
          <w:szCs w:val="52"/>
          <w:lang w:eastAsia="zh-CN"/>
        </w:rPr>
      </w:pPr>
    </w:p>
    <w:p>
      <w:pPr>
        <w:widowControl/>
        <w:shd w:val="clear" w:color="auto" w:fill="FFFFFF"/>
        <w:snapToGrid w:val="0"/>
        <w:spacing w:line="480" w:lineRule="auto"/>
        <w:jc w:val="center"/>
        <w:rPr>
          <w:rFonts w:hint="eastAsia" w:ascii="宋体" w:hAnsi="宋体" w:eastAsia="宋体" w:cs="宋体"/>
          <w:b/>
          <w:bCs/>
          <w:sz w:val="52"/>
          <w:szCs w:val="52"/>
          <w:u w:val="single"/>
          <w:lang w:val="en-US" w:eastAsia="zh-CN"/>
        </w:rPr>
      </w:pPr>
      <w:r>
        <w:rPr>
          <w:rFonts w:hint="eastAsia" w:ascii="宋体" w:hAnsi="宋体" w:eastAsia="宋体" w:cs="宋体"/>
          <w:b/>
          <w:bCs/>
          <w:sz w:val="52"/>
          <w:szCs w:val="52"/>
          <w:lang w:eastAsia="zh-CN"/>
        </w:rPr>
        <w:t>项目名称：</w:t>
      </w:r>
      <w:r>
        <w:rPr>
          <w:rFonts w:hint="eastAsia" w:ascii="宋体" w:hAnsi="宋体" w:cs="宋体"/>
          <w:b/>
          <w:bCs/>
          <w:sz w:val="52"/>
          <w:szCs w:val="52"/>
          <w:u w:val="single"/>
          <w:lang w:val="en-US" w:eastAsia="zh-CN"/>
        </w:rPr>
        <w:t>床旁监护仪紧急</w:t>
      </w:r>
    </w:p>
    <w:p>
      <w:pPr>
        <w:widowControl/>
        <w:shd w:val="clear" w:color="auto" w:fill="FFFFFF"/>
        <w:snapToGrid w:val="0"/>
        <w:spacing w:line="480" w:lineRule="auto"/>
        <w:jc w:val="center"/>
        <w:rPr>
          <w:rFonts w:hint="eastAsia" w:ascii="宋体" w:hAnsi="宋体" w:eastAsia="宋体" w:cs="宋体"/>
          <w:b/>
          <w:bCs/>
          <w:sz w:val="52"/>
          <w:szCs w:val="52"/>
          <w:u w:val="single"/>
          <w:lang w:eastAsia="zh-CN"/>
        </w:rPr>
      </w:pPr>
      <w:r>
        <w:rPr>
          <w:rFonts w:hint="eastAsia" w:ascii="宋体" w:hAnsi="宋体" w:cs="宋体"/>
          <w:b/>
          <w:bCs/>
          <w:sz w:val="52"/>
          <w:szCs w:val="52"/>
          <w:u w:val="none"/>
          <w:lang w:val="en-US" w:eastAsia="zh-CN"/>
        </w:rPr>
        <w:t xml:space="preserve">    </w:t>
      </w:r>
      <w:r>
        <w:rPr>
          <w:rFonts w:hint="eastAsia" w:ascii="宋体" w:hAnsi="宋体" w:eastAsia="宋体" w:cs="宋体"/>
          <w:b/>
          <w:bCs/>
          <w:sz w:val="52"/>
          <w:szCs w:val="52"/>
          <w:u w:val="single"/>
          <w:lang w:val="en-US" w:eastAsia="zh-CN"/>
        </w:rPr>
        <w:t>采购项目</w:t>
      </w:r>
    </w:p>
    <w:p>
      <w:pPr>
        <w:pStyle w:val="7"/>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pPr>
        <w:pStyle w:val="22"/>
        <w:ind w:left="0" w:leftChars="0" w:firstLine="0" w:firstLineChars="0"/>
        <w:jc w:val="both"/>
        <w:rPr>
          <w:rFonts w:hint="eastAsia" w:ascii="宋体" w:hAnsi="宋体" w:eastAsia="宋体" w:cs="宋体"/>
          <w:b/>
          <w:bCs/>
          <w:sz w:val="52"/>
          <w:szCs w:val="52"/>
          <w:lang w:eastAsia="zh-CN"/>
        </w:rPr>
      </w:pPr>
    </w:p>
    <w:p>
      <w:pPr>
        <w:pStyle w:val="7"/>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pPr>
        <w:pStyle w:val="7"/>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default" w:ascii="宋体" w:hAnsi="宋体" w:eastAsia="宋体" w:cs="宋体"/>
          <w:sz w:val="52"/>
          <w:szCs w:val="52"/>
          <w:lang w:val="en-US" w:eastAsia="zh-CN"/>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w:t>
      </w:r>
      <w:r>
        <w:rPr>
          <w:rFonts w:hint="eastAsia" w:ascii="宋体" w:hAnsi="宋体" w:cs="宋体"/>
          <w:b/>
          <w:bCs/>
          <w:sz w:val="52"/>
          <w:szCs w:val="52"/>
          <w:u w:val="single"/>
          <w:lang w:val="en-US" w:eastAsia="zh-CN"/>
        </w:rPr>
        <w:t>4</w:t>
      </w:r>
      <w:r>
        <w:rPr>
          <w:rFonts w:hint="eastAsia" w:ascii="宋体" w:hAnsi="宋体" w:eastAsia="宋体" w:cs="宋体"/>
          <w:b/>
          <w:bCs/>
          <w:sz w:val="52"/>
          <w:szCs w:val="52"/>
          <w:u w:val="single"/>
          <w:lang w:val="en-US" w:eastAsia="zh-CN"/>
        </w:rPr>
        <w:t>年</w:t>
      </w:r>
      <w:r>
        <w:rPr>
          <w:rFonts w:hint="eastAsia" w:ascii="宋体" w:hAnsi="宋体" w:cs="宋体"/>
          <w:b/>
          <w:bCs/>
          <w:sz w:val="52"/>
          <w:szCs w:val="52"/>
          <w:u w:val="single"/>
          <w:lang w:val="en-US" w:eastAsia="zh-CN"/>
        </w:rPr>
        <w:t>0</w:t>
      </w:r>
      <w:r>
        <w:rPr>
          <w:rFonts w:hint="eastAsia" w:ascii="宋体" w:hAnsi="宋体" w:eastAsia="宋体" w:cs="宋体"/>
          <w:b/>
          <w:bCs/>
          <w:sz w:val="52"/>
          <w:szCs w:val="52"/>
          <w:u w:val="single"/>
          <w:lang w:val="en-US" w:eastAsia="zh-CN"/>
        </w:rPr>
        <w:t>1月</w:t>
      </w:r>
      <w:r>
        <w:rPr>
          <w:rFonts w:hint="eastAsia" w:ascii="宋体" w:hAnsi="宋体" w:cs="宋体"/>
          <w:b/>
          <w:bCs/>
          <w:sz w:val="52"/>
          <w:szCs w:val="52"/>
          <w:u w:val="single"/>
          <w:lang w:val="en-US" w:eastAsia="zh-CN"/>
        </w:rPr>
        <w:t>11</w:t>
      </w:r>
      <w:r>
        <w:rPr>
          <w:rFonts w:hint="eastAsia" w:ascii="宋体" w:hAnsi="宋体" w:eastAsia="宋体" w:cs="宋体"/>
          <w:b/>
          <w:bCs/>
          <w:sz w:val="52"/>
          <w:szCs w:val="52"/>
          <w:u w:val="single"/>
          <w:lang w:val="en-US" w:eastAsia="zh-CN"/>
        </w:rPr>
        <w:t>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rPr>
      </w:pPr>
    </w:p>
    <w:p>
      <w:pPr>
        <w:pStyle w:val="7"/>
        <w:rPr>
          <w:rFonts w:hint="eastAsia" w:ascii="宋体" w:hAnsi="宋体" w:eastAsia="宋体" w:cs="宋体"/>
          <w:b/>
          <w:bCs/>
          <w:sz w:val="30"/>
          <w:szCs w:val="30"/>
        </w:rPr>
      </w:pPr>
    </w:p>
    <w:p>
      <w:pPr>
        <w:pStyle w:val="8"/>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rPr>
          <w:rFonts w:hint="eastAsia" w:ascii="宋体" w:hAnsi="宋体" w:eastAsia="宋体" w:cs="宋体"/>
          <w:b/>
          <w:bCs/>
          <w:sz w:val="30"/>
          <w:szCs w:val="30"/>
        </w:rPr>
      </w:pPr>
    </w:p>
    <w:p>
      <w:pPr>
        <w:pStyle w:val="2"/>
        <w:spacing w:before="0" w:after="0" w:line="360" w:lineRule="auto"/>
        <w:jc w:val="center"/>
        <w:rPr>
          <w:rFonts w:hint="eastAsia" w:ascii="Times New Roman" w:hAnsi="Times New Roman"/>
          <w:sz w:val="44"/>
          <w:szCs w:val="44"/>
          <w:lang w:eastAsia="zh-CN"/>
        </w:rPr>
      </w:pPr>
      <w:r>
        <w:rPr>
          <w:rFonts w:hint="eastAsia" w:ascii="Times New Roman" w:hAnsi="Times New Roman"/>
          <w:sz w:val="44"/>
          <w:szCs w:val="44"/>
        </w:rPr>
        <w:t>三台县人民医院关于</w:t>
      </w:r>
      <w:r>
        <w:rPr>
          <w:rFonts w:hint="eastAsia" w:ascii="Times New Roman" w:hAnsi="Times New Roman"/>
          <w:sz w:val="44"/>
          <w:szCs w:val="44"/>
          <w:lang w:eastAsia="zh-CN"/>
        </w:rPr>
        <w:t>紧急采购</w:t>
      </w:r>
    </w:p>
    <w:p>
      <w:pPr>
        <w:pStyle w:val="2"/>
        <w:spacing w:before="0" w:after="0" w:line="360" w:lineRule="auto"/>
        <w:jc w:val="center"/>
        <w:rPr>
          <w:rFonts w:ascii="Times New Roman" w:hAnsi="Times New Roman"/>
          <w:b/>
          <w:bCs/>
          <w:sz w:val="24"/>
        </w:rPr>
      </w:pPr>
      <w:r>
        <w:rPr>
          <w:rFonts w:hint="eastAsia" w:ascii="Times New Roman" w:hAnsi="Times New Roman"/>
          <w:sz w:val="44"/>
          <w:szCs w:val="44"/>
          <w:lang w:eastAsia="zh-CN"/>
        </w:rPr>
        <w:t>床旁监护仪</w:t>
      </w:r>
      <w:r>
        <w:rPr>
          <w:rFonts w:hint="eastAsia" w:ascii="Times New Roman" w:hAnsi="Times New Roman"/>
          <w:sz w:val="44"/>
          <w:szCs w:val="44"/>
        </w:rPr>
        <w:t>的公告</w:t>
      </w:r>
    </w:p>
    <w:p>
      <w:pPr>
        <w:spacing w:line="440" w:lineRule="exact"/>
        <w:rPr>
          <w:rFonts w:ascii="Times New Roman" w:hAnsi="Times New Roman"/>
          <w:b/>
          <w:bCs/>
          <w:sz w:val="24"/>
          <w:szCs w:val="24"/>
        </w:rPr>
      </w:pPr>
    </w:p>
    <w:p>
      <w:pPr>
        <w:spacing w:line="440" w:lineRule="exact"/>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w:t>
      </w:r>
      <w:r>
        <w:rPr>
          <w:rFonts w:hint="eastAsia" w:ascii="Times New Roman" w:hAnsi="Times New Roman"/>
          <w:color w:val="000000"/>
          <w:sz w:val="24"/>
          <w:szCs w:val="24"/>
          <w:lang w:eastAsia="zh-CN"/>
        </w:rPr>
        <w:t>紧急</w:t>
      </w:r>
      <w:r>
        <w:rPr>
          <w:rFonts w:hint="eastAsia" w:ascii="Times New Roman" w:hAnsi="Times New Roman"/>
          <w:color w:val="000000"/>
          <w:sz w:val="24"/>
          <w:szCs w:val="24"/>
        </w:rPr>
        <w:t>采购</w:t>
      </w:r>
      <w:r>
        <w:rPr>
          <w:rFonts w:hint="eastAsia" w:ascii="Times New Roman" w:hAnsi="Times New Roman"/>
          <w:color w:val="000000"/>
          <w:sz w:val="24"/>
          <w:szCs w:val="24"/>
          <w:lang w:eastAsia="zh-CN"/>
        </w:rPr>
        <w:t>床旁监护仪，</w:t>
      </w:r>
      <w:r>
        <w:rPr>
          <w:rFonts w:hint="eastAsia" w:ascii="Times New Roman" w:hAnsi="Times New Roman"/>
          <w:color w:val="000000"/>
          <w:sz w:val="24"/>
          <w:szCs w:val="24"/>
        </w:rPr>
        <w:t>兹以公告方式邀请符</w:t>
      </w:r>
      <w:bookmarkStart w:id="51" w:name="_GoBack"/>
      <w:bookmarkEnd w:id="51"/>
      <w:r>
        <w:rPr>
          <w:rFonts w:hint="eastAsia" w:ascii="Times New Roman" w:hAnsi="Times New Roman"/>
          <w:color w:val="000000"/>
          <w:sz w:val="24"/>
          <w:szCs w:val="24"/>
        </w:rPr>
        <w:t>合要求的供应商参加比选。</w:t>
      </w:r>
    </w:p>
    <w:p>
      <w:pPr>
        <w:numPr>
          <w:ilvl w:val="0"/>
          <w:numId w:val="0"/>
        </w:numPr>
        <w:spacing w:line="440" w:lineRule="exact"/>
        <w:ind w:leftChars="0"/>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床旁监护仪紧急采</w:t>
      </w:r>
      <w:r>
        <w:rPr>
          <w:rFonts w:ascii="Times New Roman" w:hAnsi="Times New Roman"/>
          <w:bCs/>
          <w:sz w:val="24"/>
          <w:szCs w:val="24"/>
        </w:rPr>
        <w:t>购项目</w:t>
      </w:r>
    </w:p>
    <w:p>
      <w:pPr>
        <w:numPr>
          <w:ilvl w:val="0"/>
          <w:numId w:val="0"/>
        </w:numPr>
        <w:spacing w:line="440" w:lineRule="exact"/>
        <w:ind w:leftChars="0"/>
        <w:rPr>
          <w:rFonts w:ascii="Times New Roman" w:hAnsi="Times New Roman"/>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4"/>
        <w:tblW w:w="4866"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3"/>
        <w:gridCol w:w="840"/>
        <w:gridCol w:w="825"/>
        <w:gridCol w:w="1530"/>
        <w:gridCol w:w="1739"/>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6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5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49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9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10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ascii="Times New Roman" w:hAnsi="Times New Roman"/>
                <w:b/>
                <w:color w:val="auto"/>
                <w:sz w:val="24"/>
              </w:rPr>
              <w:t>是否接受进口产品</w:t>
            </w:r>
          </w:p>
        </w:tc>
        <w:tc>
          <w:tcPr>
            <w:tcW w:w="75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6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color w:val="000000"/>
                <w:sz w:val="24"/>
                <w:szCs w:val="24"/>
                <w:lang w:eastAsia="zh-CN"/>
              </w:rPr>
              <w:t>床旁监护仪</w:t>
            </w:r>
          </w:p>
        </w:tc>
        <w:tc>
          <w:tcPr>
            <w:tcW w:w="5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szCs w:val="24"/>
                <w:lang w:val="en-US" w:eastAsia="zh-CN"/>
              </w:rPr>
            </w:pPr>
            <w:r>
              <w:rPr>
                <w:rFonts w:hint="eastAsia" w:ascii="Times New Roman" w:hAnsi="Times New Roman"/>
                <w:color w:val="auto"/>
                <w:sz w:val="24"/>
                <w:szCs w:val="24"/>
                <w:lang w:val="en-US" w:eastAsia="zh-CN"/>
              </w:rPr>
              <w:t>台</w:t>
            </w:r>
          </w:p>
        </w:tc>
        <w:tc>
          <w:tcPr>
            <w:tcW w:w="49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10</w:t>
            </w:r>
          </w:p>
        </w:tc>
        <w:tc>
          <w:tcPr>
            <w:tcW w:w="92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000000" w:themeColor="text1"/>
                <w:sz w:val="24"/>
                <w:szCs w:val="24"/>
                <w:lang w:val="en-US" w:eastAsia="zh-CN"/>
                <w14:textFill>
                  <w14:solidFill>
                    <w14:schemeClr w14:val="tx1"/>
                  </w14:solidFill>
                </w14:textFill>
              </w:rPr>
              <w:t>22</w:t>
            </w:r>
          </w:p>
        </w:tc>
        <w:tc>
          <w:tcPr>
            <w:tcW w:w="1048"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color w:val="auto"/>
                <w:sz w:val="24"/>
                <w:szCs w:val="24"/>
                <w:lang w:eastAsia="zh-CN"/>
              </w:rPr>
              <w:t>否</w:t>
            </w:r>
          </w:p>
        </w:tc>
        <w:tc>
          <w:tcPr>
            <w:tcW w:w="757"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bl>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三、</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01</w:t>
      </w:r>
      <w:r>
        <w:rPr>
          <w:rFonts w:ascii="Times New Roman" w:hAnsi="Times New Roman"/>
          <w:color w:val="auto"/>
          <w:sz w:val="24"/>
          <w:szCs w:val="24"/>
        </w:rPr>
        <w:t>月</w:t>
      </w:r>
      <w:r>
        <w:rPr>
          <w:rFonts w:hint="eastAsia" w:ascii="Times New Roman" w:hAnsi="Times New Roman"/>
          <w:color w:val="auto"/>
          <w:sz w:val="24"/>
          <w:szCs w:val="24"/>
          <w:lang w:val="en-US" w:eastAsia="zh-CN"/>
        </w:rPr>
        <w:t>12</w:t>
      </w:r>
      <w:r>
        <w:rPr>
          <w:rFonts w:ascii="Times New Roman" w:hAnsi="Times New Roman"/>
          <w:color w:val="auto"/>
          <w:sz w:val="24"/>
          <w:szCs w:val="24"/>
        </w:rPr>
        <w:t>日</w:t>
      </w:r>
      <w:r>
        <w:rPr>
          <w:rFonts w:hint="eastAsia" w:ascii="Times New Roman" w:hAnsi="Times New Roman"/>
          <w:color w:val="auto"/>
          <w:sz w:val="24"/>
          <w:szCs w:val="24"/>
          <w:lang w:val="en-US" w:eastAsia="zh-CN"/>
        </w:rPr>
        <w:t xml:space="preserve"> </w:t>
      </w:r>
      <w:r>
        <w:rPr>
          <w:rFonts w:hint="eastAsia" w:ascii="Times New Roman" w:hAnsi="Times New Roman"/>
          <w:color w:val="auto"/>
          <w:sz w:val="24"/>
          <w:szCs w:val="24"/>
        </w:rPr>
        <w:t>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rPr>
        <w:t>四、</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01</w:t>
      </w:r>
      <w:r>
        <w:rPr>
          <w:rFonts w:ascii="Times New Roman" w:hAnsi="Times New Roman"/>
          <w:color w:val="auto"/>
          <w:sz w:val="24"/>
          <w:szCs w:val="24"/>
        </w:rPr>
        <w:t>月</w:t>
      </w:r>
      <w:r>
        <w:rPr>
          <w:rFonts w:hint="eastAsia" w:ascii="Times New Roman" w:hAnsi="Times New Roman"/>
          <w:color w:val="auto"/>
          <w:sz w:val="24"/>
          <w:szCs w:val="24"/>
          <w:lang w:val="en-US" w:eastAsia="zh-CN"/>
        </w:rPr>
        <w:t>15</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rPr>
        <w:t>五、</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w:t>
      </w:r>
      <w:r>
        <w:rPr>
          <w:rFonts w:hint="eastAsia" w:ascii="Times New Roman" w:hAnsi="Times New Roman"/>
          <w:color w:val="auto"/>
          <w:kern w:val="0"/>
          <w:sz w:val="24"/>
          <w:szCs w:val="24"/>
          <w:lang w:eastAsia="zh-CN"/>
        </w:rPr>
        <w:t>云</w:t>
      </w:r>
      <w:r>
        <w:rPr>
          <w:rFonts w:hint="eastAsia" w:ascii="Times New Roman" w:hAnsi="Times New Roman"/>
          <w:color w:val="auto"/>
          <w:kern w:val="0"/>
          <w:sz w:val="24"/>
          <w:szCs w:val="24"/>
        </w:rPr>
        <w:t>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，邮件封面注明设备名称。</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六、</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01</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15</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七、</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val="en-US" w:eastAsia="zh-CN"/>
        </w:rPr>
        <w:t>二</w:t>
      </w:r>
      <w:r>
        <w:rPr>
          <w:rFonts w:hint="eastAsia" w:ascii="Times New Roman" w:hAnsi="Times New Roman"/>
          <w:b w:val="0"/>
          <w:bCs/>
          <w:color w:val="auto"/>
          <w:sz w:val="24"/>
          <w:szCs w:val="24"/>
        </w:rPr>
        <w:t>楼会议室</w:t>
      </w:r>
    </w:p>
    <w:p>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rPr>
        <w:t>八、</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rPr>
        <w:t>九、比选文件详见附件</w:t>
      </w:r>
    </w:p>
    <w:p>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01</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11</w:t>
      </w:r>
      <w:r>
        <w:rPr>
          <w:rFonts w:ascii="Times New Roman" w:hAnsi="Times New Roman"/>
          <w:b w:val="0"/>
          <w:bCs/>
          <w:color w:val="auto"/>
          <w:kern w:val="0"/>
          <w:sz w:val="24"/>
          <w:szCs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2"/>
        <w:pageBreakBefore w:val="0"/>
        <w:kinsoku/>
        <w:wordWrap/>
        <w:overflowPunct/>
        <w:topLinePunct w:val="0"/>
        <w:bidi w:val="0"/>
        <w:snapToGrid/>
        <w:spacing w:before="0" w:after="0" w:line="400" w:lineRule="exact"/>
        <w:jc w:val="left"/>
        <w:textAlignment w:val="auto"/>
        <w:rPr>
          <w:rFonts w:ascii="Times New Roman" w:hAnsi="Times New Roman"/>
          <w:color w:val="auto"/>
          <w:sz w:val="36"/>
          <w:szCs w:val="36"/>
        </w:rPr>
      </w:pPr>
      <w:r>
        <w:rPr>
          <w:rFonts w:hint="eastAsia" w:ascii="Times New Roman" w:hAnsi="Times New Roman"/>
          <w:color w:val="auto"/>
          <w:sz w:val="36"/>
          <w:szCs w:val="36"/>
        </w:rPr>
        <w:t>附件</w:t>
      </w:r>
    </w:p>
    <w:p>
      <w:pPr>
        <w:pStyle w:val="2"/>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2"/>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关于紧急</w:t>
      </w:r>
      <w:r>
        <w:rPr>
          <w:rFonts w:hint="eastAsia" w:ascii="Times New Roman" w:hAnsi="Times New Roman"/>
          <w:sz w:val="32"/>
          <w:szCs w:val="32"/>
          <w:lang w:eastAsia="zh-CN"/>
        </w:rPr>
        <w:t>采购床旁监护仪</w:t>
      </w:r>
      <w:r>
        <w:rPr>
          <w:rFonts w:hint="eastAsia" w:ascii="Times New Roman" w:hAnsi="Times New Roman"/>
          <w:color w:val="auto"/>
          <w:sz w:val="32"/>
          <w:szCs w:val="32"/>
          <w:lang w:eastAsia="zh-CN"/>
        </w:rPr>
        <w:t>的比选文件</w:t>
      </w:r>
    </w:p>
    <w:p>
      <w:pPr>
        <w:pStyle w:val="2"/>
        <w:pageBreakBefore w:val="0"/>
        <w:kinsoku/>
        <w:wordWrap/>
        <w:overflowPunct/>
        <w:topLinePunct w:val="0"/>
        <w:bidi w:val="0"/>
        <w:snapToGrid/>
        <w:spacing w:before="0" w:after="0" w:line="400" w:lineRule="exact"/>
        <w:jc w:val="center"/>
        <w:textAlignment w:val="auto"/>
        <w:rPr>
          <w:rFonts w:ascii="Times New Roman" w:hAnsi="Times New Roman"/>
          <w:color w:val="auto"/>
          <w:sz w:val="30"/>
          <w:szCs w:val="30"/>
        </w:rPr>
      </w:pPr>
    </w:p>
    <w:p>
      <w:pPr>
        <w:pStyle w:val="2"/>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pageBreakBefore w:val="0"/>
        <w:kinsoku/>
        <w:wordWrap/>
        <w:overflowPunct/>
        <w:topLinePunct w:val="0"/>
        <w:bidi w:val="0"/>
        <w:snapToGrid/>
        <w:spacing w:line="400" w:lineRule="exact"/>
        <w:textAlignment w:val="auto"/>
        <w:rPr>
          <w:rFonts w:ascii="Times New Roman" w:hAnsi="Times New Roman"/>
          <w:b/>
          <w:bCs/>
          <w:sz w:val="24"/>
          <w:szCs w:val="24"/>
        </w:rPr>
      </w:pPr>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w:t>
      </w:r>
      <w:r>
        <w:rPr>
          <w:rFonts w:hint="eastAsia" w:ascii="Times New Roman" w:hAnsi="Times New Roman"/>
          <w:color w:val="000000"/>
          <w:sz w:val="24"/>
          <w:szCs w:val="24"/>
          <w:lang w:eastAsia="zh-CN"/>
        </w:rPr>
        <w:t>紧急</w:t>
      </w:r>
      <w:r>
        <w:rPr>
          <w:rFonts w:hint="eastAsia" w:ascii="Times New Roman" w:hAnsi="Times New Roman"/>
          <w:color w:val="000000"/>
          <w:sz w:val="24"/>
          <w:szCs w:val="24"/>
        </w:rPr>
        <w:t>采购</w:t>
      </w:r>
      <w:r>
        <w:rPr>
          <w:rFonts w:hint="eastAsia" w:ascii="Times New Roman" w:hAnsi="Times New Roman"/>
          <w:color w:val="000000"/>
          <w:sz w:val="24"/>
          <w:szCs w:val="24"/>
          <w:lang w:eastAsia="zh-CN"/>
        </w:rPr>
        <w:t>床旁监护仪，</w:t>
      </w:r>
      <w:r>
        <w:rPr>
          <w:rFonts w:hint="eastAsia" w:ascii="Times New Roman" w:hAnsi="Times New Roman"/>
          <w:color w:val="000000"/>
          <w:sz w:val="24"/>
          <w:szCs w:val="24"/>
        </w:rPr>
        <w:t>兹以公告方式邀请符合要求的供应商参加比选。</w:t>
      </w:r>
    </w:p>
    <w:p>
      <w:pPr>
        <w:numPr>
          <w:ilvl w:val="0"/>
          <w:numId w:val="0"/>
        </w:numPr>
        <w:spacing w:line="440" w:lineRule="exact"/>
        <w:ind w:leftChars="0"/>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床旁监护仪紧急采</w:t>
      </w:r>
      <w:r>
        <w:rPr>
          <w:rFonts w:ascii="Times New Roman" w:hAnsi="Times New Roman"/>
          <w:bCs/>
          <w:sz w:val="24"/>
          <w:szCs w:val="24"/>
        </w:rPr>
        <w:t>购项目</w:t>
      </w:r>
    </w:p>
    <w:p>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二、采购方式</w:t>
      </w:r>
      <w:r>
        <w:rPr>
          <w:rFonts w:ascii="Times New Roman" w:hAnsi="Times New Roman"/>
          <w:b/>
          <w:bCs/>
          <w:sz w:val="24"/>
          <w:szCs w:val="24"/>
        </w:rPr>
        <w:t>：</w:t>
      </w:r>
      <w:r>
        <w:rPr>
          <w:rFonts w:hint="eastAsia" w:ascii="Times New Roman" w:hAnsi="Times New Roman"/>
          <w:color w:val="000000"/>
          <w:sz w:val="24"/>
          <w:szCs w:val="24"/>
          <w:lang w:eastAsia="zh-CN"/>
        </w:rPr>
        <w:t>院内比选</w:t>
      </w:r>
    </w:p>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eastAsia="zh-CN"/>
        </w:rPr>
        <w:t>三、</w:t>
      </w:r>
      <w:r>
        <w:rPr>
          <w:rFonts w:ascii="Times New Roman" w:hAnsi="Times New Roman"/>
          <w:b/>
          <w:bCs/>
          <w:sz w:val="24"/>
          <w:szCs w:val="24"/>
        </w:rPr>
        <w:t>比选内容</w:t>
      </w:r>
    </w:p>
    <w:tbl>
      <w:tblPr>
        <w:tblStyle w:val="24"/>
        <w:tblW w:w="4869"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5"/>
        <w:gridCol w:w="841"/>
        <w:gridCol w:w="826"/>
        <w:gridCol w:w="1530"/>
        <w:gridCol w:w="1739"/>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6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5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49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921"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10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ascii="Times New Roman" w:hAnsi="Times New Roman"/>
                <w:b/>
                <w:color w:val="auto"/>
                <w:sz w:val="24"/>
              </w:rPr>
              <w:t>是否接受进口产品</w:t>
            </w:r>
          </w:p>
        </w:tc>
        <w:tc>
          <w:tcPr>
            <w:tcW w:w="75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6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color w:val="000000"/>
                <w:sz w:val="24"/>
                <w:szCs w:val="24"/>
                <w:lang w:eastAsia="zh-CN"/>
              </w:rPr>
              <w:t>床旁监护仪</w:t>
            </w:r>
          </w:p>
        </w:tc>
        <w:tc>
          <w:tcPr>
            <w:tcW w:w="5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szCs w:val="24"/>
                <w:lang w:val="en-US" w:eastAsia="zh-CN"/>
              </w:rPr>
            </w:pPr>
            <w:r>
              <w:rPr>
                <w:rFonts w:hint="eastAsia" w:ascii="Times New Roman" w:hAnsi="Times New Roman"/>
                <w:color w:val="auto"/>
                <w:sz w:val="24"/>
                <w:szCs w:val="24"/>
                <w:lang w:val="en-US" w:eastAsia="zh-CN"/>
              </w:rPr>
              <w:t>台</w:t>
            </w:r>
          </w:p>
        </w:tc>
        <w:tc>
          <w:tcPr>
            <w:tcW w:w="49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10</w:t>
            </w:r>
          </w:p>
        </w:tc>
        <w:tc>
          <w:tcPr>
            <w:tcW w:w="921"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22</w:t>
            </w:r>
          </w:p>
        </w:tc>
        <w:tc>
          <w:tcPr>
            <w:tcW w:w="1047"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color w:val="auto"/>
                <w:sz w:val="24"/>
                <w:szCs w:val="24"/>
                <w:lang w:eastAsia="zh-CN"/>
              </w:rPr>
              <w:t>否</w:t>
            </w:r>
          </w:p>
        </w:tc>
        <w:tc>
          <w:tcPr>
            <w:tcW w:w="757"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bl>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四、</w:t>
      </w:r>
      <w:r>
        <w:rPr>
          <w:rFonts w:ascii="Times New Roman" w:hAnsi="Times New Roman"/>
          <w:b/>
          <w:bCs/>
          <w:sz w:val="24"/>
          <w:szCs w:val="24"/>
        </w:rPr>
        <w:t>合格比选申请人资格要求</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1、具有独立承担民事责任的能力；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2、具有良好的商业信誉和健全的财务会计制度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3、具备履行合同所必需的设备和专业技术能力；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4、具有依法缴纳税收和社会保障资金的良好记录；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5、参加采购活动前三年内，在经营活动中没有重大违法记录；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6、与其他比选申请人供应商之间，单位负责人不为同一人而且不存在直接控股、管理关系；</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7、具有医疗器械经营企业许可证或医疗器械经营备案凭证（</w:t>
      </w:r>
      <w:r>
        <w:rPr>
          <w:rFonts w:hint="eastAsia" w:ascii="Times New Roman" w:hAnsi="Times New Roman"/>
          <w:kern w:val="0"/>
          <w:sz w:val="24"/>
          <w:szCs w:val="24"/>
          <w:lang w:val="zh-CN"/>
        </w:rPr>
        <w:t>设备为I类医疗器械或非医疗器械不提供</w:t>
      </w:r>
      <w:r>
        <w:rPr>
          <w:rFonts w:ascii="Times New Roman" w:hAnsi="Times New Roman"/>
          <w:kern w:val="0"/>
          <w:sz w:val="24"/>
          <w:szCs w:val="24"/>
          <w:lang w:val="zh-CN"/>
        </w:rPr>
        <w:t>）</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8、法定代表人授权委托书；</w:t>
      </w:r>
    </w:p>
    <w:p>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rPr>
        <w:t>提供产品的医疗器械产品注册证或备案凭证（非医疗器械产品除外）。</w:t>
      </w:r>
    </w:p>
    <w:p>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五、</w:t>
      </w:r>
      <w:r>
        <w:rPr>
          <w:rFonts w:ascii="Times New Roman" w:hAnsi="Times New Roman"/>
          <w:b/>
          <w:color w:val="0D0D0D"/>
          <w:kern w:val="0"/>
          <w:sz w:val="24"/>
          <w:szCs w:val="24"/>
          <w:lang w:val="zh-CN"/>
        </w:rPr>
        <w:t>比选申请人资格证明文件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21</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2</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pageBreakBefore w:val="0"/>
        <w:kinsoku/>
        <w:wordWrap/>
        <w:overflowPunct/>
        <w:topLinePunct w:val="0"/>
        <w:bidi w:val="0"/>
        <w:snapToGrid/>
        <w:spacing w:line="400" w:lineRule="exact"/>
        <w:textAlignment w:val="auto"/>
        <w:rPr>
          <w:rFonts w:hint="eastAsia" w:ascii="Times New Roman" w:hAnsi="Times New Roman" w:eastAsia="宋体"/>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r>
        <w:rPr>
          <w:rFonts w:hint="eastAsia" w:ascii="Times New Roman" w:hAnsi="Times New Roman"/>
          <w:b/>
          <w:bCs/>
          <w:kern w:val="0"/>
          <w:sz w:val="24"/>
          <w:szCs w:val="24"/>
          <w:lang w:val="zh-CN"/>
        </w:rPr>
        <w:t>六、</w:t>
      </w:r>
      <w:r>
        <w:rPr>
          <w:rFonts w:hint="eastAsia" w:ascii="Times New Roman" w:hAnsi="Times New Roman"/>
          <w:b/>
          <w:bCs/>
          <w:sz w:val="24"/>
          <w:szCs w:val="24"/>
        </w:rPr>
        <w:t>报名方式及截止时间</w:t>
      </w:r>
      <w:r>
        <w:rPr>
          <w:rFonts w:ascii="Times New Roman" w:hAnsi="Times New Roman"/>
          <w:b/>
          <w:bCs/>
          <w:sz w:val="24"/>
          <w:szCs w:val="24"/>
        </w:rPr>
        <w:t>：</w:t>
      </w:r>
      <w:r>
        <w:rPr>
          <w:rFonts w:hint="eastAsia" w:ascii="Times New Roman" w:hAnsi="Times New Roman"/>
          <w:b w:val="0"/>
          <w:bCs w:val="0"/>
          <w:sz w:val="24"/>
          <w:szCs w:val="24"/>
        </w:rPr>
        <w:t>请潜在比选人致电三台县人民医院采购办报名，报名电话：0816-5222252，报名时间：</w:t>
      </w:r>
      <w:r>
        <w:rPr>
          <w:rFonts w:ascii="Times New Roman" w:hAnsi="Times New Roman"/>
          <w:sz w:val="24"/>
          <w:szCs w:val="24"/>
        </w:rPr>
        <w:t>202</w:t>
      </w:r>
      <w:r>
        <w:rPr>
          <w:rFonts w:hint="eastAsia" w:ascii="Times New Roman" w:hAnsi="Times New Roman"/>
          <w:sz w:val="24"/>
          <w:szCs w:val="24"/>
          <w:lang w:val="en-US" w:eastAsia="zh-CN"/>
        </w:rPr>
        <w:t>4</w:t>
      </w:r>
      <w:r>
        <w:rPr>
          <w:rFonts w:ascii="Times New Roman" w:hAnsi="Times New Roman"/>
          <w:sz w:val="24"/>
          <w:szCs w:val="24"/>
        </w:rPr>
        <w:t>年</w:t>
      </w:r>
      <w:r>
        <w:rPr>
          <w:rFonts w:hint="eastAsia" w:ascii="Times New Roman" w:hAnsi="Times New Roman"/>
          <w:sz w:val="24"/>
          <w:szCs w:val="24"/>
          <w:lang w:val="en-US" w:eastAsia="zh-CN"/>
        </w:rPr>
        <w:t>01</w:t>
      </w:r>
      <w:r>
        <w:rPr>
          <w:rFonts w:ascii="Times New Roman" w:hAnsi="Times New Roman"/>
          <w:sz w:val="24"/>
          <w:szCs w:val="24"/>
        </w:rPr>
        <w:t>月</w:t>
      </w:r>
      <w:r>
        <w:rPr>
          <w:rFonts w:hint="eastAsia" w:ascii="Times New Roman" w:hAnsi="Times New Roman"/>
          <w:sz w:val="24"/>
          <w:szCs w:val="24"/>
          <w:lang w:val="en-US" w:eastAsia="zh-CN"/>
        </w:rPr>
        <w:t>12</w:t>
      </w:r>
      <w:r>
        <w:rPr>
          <w:rFonts w:ascii="Times New Roman" w:hAnsi="Times New Roman"/>
          <w:sz w:val="24"/>
          <w:szCs w:val="24"/>
        </w:rPr>
        <w:t>日</w:t>
      </w:r>
      <w:r>
        <w:rPr>
          <w:rFonts w:hint="eastAsia" w:ascii="Times New Roman" w:hAnsi="Times New Roman"/>
          <w:sz w:val="24"/>
          <w:szCs w:val="24"/>
          <w:lang w:val="en-US" w:eastAsia="zh-CN"/>
        </w:rPr>
        <w:t xml:space="preserve"> </w:t>
      </w:r>
      <w:r>
        <w:rPr>
          <w:rFonts w:hint="eastAsia" w:ascii="Times New Roman" w:hAnsi="Times New Roman"/>
          <w:sz w:val="24"/>
          <w:szCs w:val="24"/>
        </w:rPr>
        <w:t>8</w:t>
      </w:r>
      <w:r>
        <w:rPr>
          <w:rFonts w:ascii="Times New Roman" w:hAnsi="Times New Roman"/>
          <w:sz w:val="24"/>
          <w:szCs w:val="24"/>
        </w:rPr>
        <w:t>:00～12:00、1</w:t>
      </w:r>
      <w:r>
        <w:rPr>
          <w:rFonts w:hint="eastAsia" w:ascii="Times New Roman" w:hAnsi="Times New Roman"/>
          <w:sz w:val="24"/>
          <w:szCs w:val="24"/>
        </w:rPr>
        <w:t>4</w:t>
      </w:r>
      <w:r>
        <w:rPr>
          <w:rFonts w:hint="eastAsia" w:ascii="Times New Roman" w:hAnsi="Times New Roman"/>
          <w:sz w:val="24"/>
          <w:szCs w:val="24"/>
          <w:lang w:eastAsia="zh-CN"/>
        </w:rPr>
        <w:t>：</w:t>
      </w:r>
      <w:r>
        <w:rPr>
          <w:rFonts w:hint="eastAsia" w:ascii="Times New Roman" w:hAnsi="Times New Roman"/>
          <w:sz w:val="24"/>
          <w:szCs w:val="24"/>
          <w:lang w:val="en-US" w:eastAsia="zh-CN"/>
        </w:rPr>
        <w:t>3</w:t>
      </w:r>
      <w:r>
        <w:rPr>
          <w:rFonts w:ascii="Times New Roman" w:hAnsi="Times New Roman"/>
          <w:sz w:val="24"/>
          <w:szCs w:val="24"/>
        </w:rPr>
        <w:t>0～</w:t>
      </w:r>
      <w:r>
        <w:rPr>
          <w:rFonts w:hint="eastAsia" w:ascii="Times New Roman" w:hAnsi="Times New Roman"/>
          <w:sz w:val="24"/>
          <w:szCs w:val="24"/>
          <w:lang w:val="en-US" w:eastAsia="zh-CN"/>
        </w:rPr>
        <w:t>18:0</w:t>
      </w:r>
      <w:r>
        <w:rPr>
          <w:rFonts w:ascii="Times New Roman" w:hAnsi="Times New Roman"/>
          <w:sz w:val="24"/>
          <w:szCs w:val="24"/>
        </w:rPr>
        <w:t>0（北京时间，法定节假日除外）</w:t>
      </w:r>
      <w:r>
        <w:rPr>
          <w:rFonts w:hint="eastAsia" w:ascii="Times New Roman" w:hAnsi="Times New Roman"/>
          <w:sz w:val="24"/>
          <w:szCs w:val="24"/>
          <w:lang w:eastAsia="zh-CN"/>
        </w:rPr>
        <w:t>。</w:t>
      </w:r>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hint="eastAsia" w:ascii="Times New Roman" w:hAnsi="Times New Roman"/>
          <w:b/>
          <w:bCs w:val="0"/>
          <w:sz w:val="24"/>
          <w:szCs w:val="24"/>
          <w:lang w:eastAsia="zh-CN"/>
        </w:rPr>
        <w:t>七</w:t>
      </w:r>
      <w:r>
        <w:rPr>
          <w:rFonts w:hint="eastAsia" w:ascii="Times New Roman" w:hAnsi="Times New Roman"/>
          <w:b/>
          <w:bCs w:val="0"/>
          <w:sz w:val="24"/>
          <w:szCs w:val="24"/>
        </w:rPr>
        <w:t>、</w:t>
      </w:r>
      <w:r>
        <w:rPr>
          <w:rFonts w:ascii="Times New Roman" w:hAnsi="Times New Roman"/>
          <w:b/>
          <w:bCs/>
          <w:sz w:val="24"/>
          <w:szCs w:val="24"/>
        </w:rPr>
        <w:t>响应文件递交截止时间：</w:t>
      </w:r>
      <w:r>
        <w:rPr>
          <w:rFonts w:ascii="Times New Roman" w:hAnsi="Times New Roman"/>
          <w:sz w:val="24"/>
          <w:szCs w:val="24"/>
        </w:rPr>
        <w:t>202</w:t>
      </w:r>
      <w:r>
        <w:rPr>
          <w:rFonts w:hint="eastAsia" w:ascii="Times New Roman" w:hAnsi="Times New Roman"/>
          <w:sz w:val="24"/>
          <w:szCs w:val="24"/>
          <w:lang w:val="en-US" w:eastAsia="zh-CN"/>
        </w:rPr>
        <w:t>4</w:t>
      </w:r>
      <w:r>
        <w:rPr>
          <w:rFonts w:ascii="Times New Roman" w:hAnsi="Times New Roman"/>
          <w:sz w:val="24"/>
          <w:szCs w:val="24"/>
        </w:rPr>
        <w:t>年</w:t>
      </w:r>
      <w:r>
        <w:rPr>
          <w:rFonts w:hint="eastAsia" w:ascii="Times New Roman" w:hAnsi="Times New Roman"/>
          <w:sz w:val="24"/>
          <w:szCs w:val="24"/>
          <w:lang w:val="en-US" w:eastAsia="zh-CN"/>
        </w:rPr>
        <w:t>01</w:t>
      </w:r>
      <w:r>
        <w:rPr>
          <w:rFonts w:ascii="Times New Roman" w:hAnsi="Times New Roman"/>
          <w:sz w:val="24"/>
          <w:szCs w:val="24"/>
        </w:rPr>
        <w:t>月</w:t>
      </w:r>
      <w:r>
        <w:rPr>
          <w:rFonts w:hint="eastAsia" w:ascii="Times New Roman" w:hAnsi="Times New Roman"/>
          <w:sz w:val="24"/>
          <w:szCs w:val="24"/>
          <w:lang w:val="en-US" w:eastAsia="zh-CN"/>
        </w:rPr>
        <w:t>15</w:t>
      </w:r>
      <w:r>
        <w:rPr>
          <w:rFonts w:ascii="Times New Roman" w:hAnsi="Times New Roman"/>
          <w:sz w:val="24"/>
          <w:szCs w:val="24"/>
        </w:rPr>
        <w:t>日</w:t>
      </w:r>
      <w:r>
        <w:rPr>
          <w:rFonts w:hint="eastAsia" w:ascii="Times New Roman" w:hAnsi="Times New Roman"/>
          <w:kern w:val="0"/>
          <w:sz w:val="24"/>
          <w:szCs w:val="24"/>
          <w:lang w:val="en-US" w:eastAsia="zh-CN"/>
        </w:rPr>
        <w:t>12：0</w:t>
      </w:r>
      <w:r>
        <w:rPr>
          <w:rFonts w:ascii="Times New Roman" w:hAnsi="Times New Roman"/>
          <w:kern w:val="0"/>
          <w:sz w:val="24"/>
          <w:szCs w:val="24"/>
        </w:rPr>
        <w:t>0（北京时间）。</w:t>
      </w:r>
    </w:p>
    <w:p>
      <w:pPr>
        <w:pageBreakBefore w:val="0"/>
        <w:kinsoku/>
        <w:wordWrap/>
        <w:overflowPunct/>
        <w:topLinePunct w:val="0"/>
        <w:bidi w:val="0"/>
        <w:snapToGrid/>
        <w:spacing w:line="400" w:lineRule="exact"/>
        <w:textAlignment w:val="auto"/>
        <w:rPr>
          <w:rFonts w:ascii="Times New Roman" w:hAnsi="Times New Roman"/>
          <w:b/>
          <w:sz w:val="24"/>
          <w:szCs w:val="24"/>
        </w:rPr>
      </w:pPr>
      <w:r>
        <w:rPr>
          <w:rFonts w:hint="eastAsia" w:ascii="Times New Roman" w:hAnsi="Times New Roman"/>
          <w:b/>
          <w:bCs/>
          <w:sz w:val="24"/>
          <w:szCs w:val="24"/>
          <w:lang w:eastAsia="zh-CN"/>
        </w:rPr>
        <w:t>八</w:t>
      </w:r>
      <w:r>
        <w:rPr>
          <w:rFonts w:hint="eastAsia" w:ascii="Times New Roman" w:hAnsi="Times New Roman"/>
          <w:b/>
          <w:bCs/>
          <w:sz w:val="24"/>
          <w:szCs w:val="24"/>
        </w:rPr>
        <w:t>、</w:t>
      </w:r>
      <w:r>
        <w:rPr>
          <w:rFonts w:ascii="Times New Roman" w:hAnsi="Times New Roman"/>
          <w:b/>
          <w:bCs/>
          <w:sz w:val="24"/>
          <w:szCs w:val="24"/>
        </w:rPr>
        <w:t>递交响应文件地</w:t>
      </w:r>
      <w:r>
        <w:rPr>
          <w:rFonts w:hint="eastAsia" w:ascii="Times New Roman" w:hAnsi="Times New Roman"/>
          <w:b/>
          <w:bCs/>
          <w:sz w:val="24"/>
          <w:szCs w:val="24"/>
        </w:rPr>
        <w:t>点、方式</w:t>
      </w:r>
    </w:p>
    <w:p>
      <w:pPr>
        <w:pageBreakBefore w:val="0"/>
        <w:kinsoku/>
        <w:wordWrap/>
        <w:overflowPunct/>
        <w:topLinePunct w:val="0"/>
        <w:bidi w:val="0"/>
        <w:snapToGrid/>
        <w:spacing w:line="400" w:lineRule="exact"/>
        <w:jc w:val="both"/>
        <w:textAlignment w:val="auto"/>
        <w:rPr>
          <w:rFonts w:hint="eastAsia" w:ascii="Times New Roman" w:hAnsi="Times New Roman"/>
          <w:kern w:val="0"/>
          <w:sz w:val="24"/>
          <w:szCs w:val="24"/>
        </w:rPr>
      </w:pPr>
      <w:r>
        <w:rPr>
          <w:rFonts w:hint="eastAsia" w:ascii="Times New Roman" w:hAnsi="Times New Roman"/>
          <w:b w:val="0"/>
          <w:bCs/>
          <w:sz w:val="24"/>
          <w:szCs w:val="24"/>
          <w:lang w:val="en-US" w:eastAsia="zh-CN"/>
        </w:rPr>
        <w:t>1、</w:t>
      </w:r>
      <w:r>
        <w:rPr>
          <w:rFonts w:ascii="Times New Roman" w:hAnsi="Times New Roman"/>
          <w:kern w:val="0"/>
          <w:sz w:val="24"/>
          <w:szCs w:val="24"/>
        </w:rPr>
        <w:t>响应文件</w:t>
      </w:r>
      <w:r>
        <w:rPr>
          <w:rFonts w:hint="eastAsia" w:ascii="Times New Roman" w:hAnsi="Times New Roman"/>
          <w:kern w:val="0"/>
          <w:sz w:val="24"/>
          <w:szCs w:val="24"/>
          <w:lang w:eastAsia="zh-CN"/>
        </w:rPr>
        <w:t>一式两份（</w:t>
      </w:r>
      <w:r>
        <w:rPr>
          <w:rFonts w:hint="eastAsia" w:ascii="Times New Roman" w:hAnsi="Times New Roman"/>
          <w:b/>
          <w:bCs/>
          <w:kern w:val="0"/>
          <w:sz w:val="24"/>
          <w:szCs w:val="24"/>
          <w:lang w:eastAsia="zh-CN"/>
        </w:rPr>
        <w:t>一正一副，密封</w:t>
      </w:r>
      <w:r>
        <w:rPr>
          <w:rFonts w:hint="eastAsia" w:ascii="Times New Roman" w:hAnsi="Times New Roman"/>
          <w:kern w:val="0"/>
          <w:sz w:val="24"/>
          <w:szCs w:val="24"/>
          <w:lang w:eastAsia="zh-CN"/>
        </w:rPr>
        <w:t>）</w:t>
      </w:r>
      <w:r>
        <w:rPr>
          <w:rFonts w:ascii="Times New Roman" w:hAnsi="Times New Roman"/>
          <w:kern w:val="0"/>
          <w:sz w:val="24"/>
          <w:szCs w:val="24"/>
        </w:rPr>
        <w:t>必须在</w:t>
      </w:r>
      <w:r>
        <w:rPr>
          <w:rFonts w:hint="eastAsia" w:ascii="Times New Roman" w:hAnsi="Times New Roman"/>
          <w:kern w:val="0"/>
          <w:sz w:val="24"/>
          <w:szCs w:val="24"/>
          <w:lang w:eastAsia="zh-CN"/>
        </w:rPr>
        <w:t>保证在响应文件递交</w:t>
      </w:r>
      <w:r>
        <w:rPr>
          <w:rFonts w:ascii="Times New Roman" w:hAnsi="Times New Roman"/>
          <w:kern w:val="0"/>
          <w:sz w:val="24"/>
          <w:szCs w:val="24"/>
        </w:rPr>
        <w:t>截止时间前</w:t>
      </w:r>
      <w:r>
        <w:rPr>
          <w:rFonts w:hint="eastAsia" w:ascii="Times New Roman" w:hAnsi="Times New Roman"/>
          <w:kern w:val="0"/>
          <w:sz w:val="24"/>
          <w:szCs w:val="24"/>
        </w:rPr>
        <w:t>邮寄（顺丰快递）至三台县人民医院采购办（</w:t>
      </w:r>
      <w:r>
        <w:rPr>
          <w:rFonts w:hint="eastAsia" w:ascii="Times New Roman" w:hAnsi="Times New Roman"/>
          <w:kern w:val="0"/>
          <w:sz w:val="24"/>
          <w:szCs w:val="24"/>
          <w:lang w:eastAsia="zh-CN"/>
        </w:rPr>
        <w:t>云</w:t>
      </w:r>
      <w:r>
        <w:rPr>
          <w:rFonts w:hint="eastAsia" w:ascii="Times New Roman" w:hAnsi="Times New Roman"/>
          <w:kern w:val="0"/>
          <w:sz w:val="24"/>
          <w:szCs w:val="24"/>
        </w:rPr>
        <w:t>老师收，收件电话：0816-5222252）</w:t>
      </w:r>
      <w:r>
        <w:rPr>
          <w:rFonts w:ascii="Times New Roman" w:hAnsi="Times New Roman"/>
          <w:kern w:val="0"/>
          <w:sz w:val="24"/>
          <w:szCs w:val="24"/>
        </w:rPr>
        <w:t>。逾期送达或密封和标注不符合比选邀请文件规定的响应文件恕不接受。本次比选</w:t>
      </w:r>
      <w:r>
        <w:rPr>
          <w:rFonts w:hint="eastAsia" w:ascii="Times New Roman" w:hAnsi="Times New Roman"/>
          <w:kern w:val="0"/>
          <w:sz w:val="24"/>
          <w:szCs w:val="24"/>
        </w:rPr>
        <w:t>只</w:t>
      </w:r>
      <w:r>
        <w:rPr>
          <w:rFonts w:ascii="Times New Roman" w:hAnsi="Times New Roman"/>
          <w:kern w:val="0"/>
          <w:sz w:val="24"/>
          <w:szCs w:val="24"/>
        </w:rPr>
        <w:t>接受邮寄的</w:t>
      </w:r>
      <w:r>
        <w:rPr>
          <w:rFonts w:ascii="Times New Roman" w:hAnsi="Times New Roman"/>
          <w:sz w:val="24"/>
          <w:szCs w:val="24"/>
        </w:rPr>
        <w:t>响应文件</w:t>
      </w:r>
      <w:r>
        <w:rPr>
          <w:rFonts w:hint="eastAsia" w:ascii="Times New Roman" w:hAnsi="Times New Roman"/>
          <w:kern w:val="0"/>
          <w:sz w:val="24"/>
          <w:szCs w:val="24"/>
        </w:rPr>
        <w:t>，邮件封面注明设备名称。</w:t>
      </w:r>
    </w:p>
    <w:p>
      <w:pPr>
        <w:keepNext w:val="0"/>
        <w:keepLines w:val="0"/>
        <w:pageBreakBefore w:val="0"/>
        <w:widowControl/>
        <w:numPr>
          <w:ilvl w:val="0"/>
          <w:numId w:val="0"/>
        </w:numPr>
        <w:kinsoku/>
        <w:wordWrap/>
        <w:overflowPunct/>
        <w:topLinePunct w:val="0"/>
        <w:bidi w:val="0"/>
        <w:snapToGrid/>
        <w:spacing w:line="400" w:lineRule="exact"/>
        <w:ind w:leftChars="0"/>
        <w:jc w:val="both"/>
        <w:textAlignment w:val="auto"/>
        <w:rPr>
          <w:rFonts w:hint="eastAsia" w:asciiTheme="minorEastAsia" w:hAnsiTheme="minorEastAsia" w:eastAsiaTheme="minorEastAsia"/>
          <w:b w:val="0"/>
          <w:bCs w:val="0"/>
          <w:color w:val="auto"/>
          <w:kern w:val="0"/>
          <w:sz w:val="24"/>
          <w:szCs w:val="24"/>
          <w:lang w:val="en-US" w:eastAsia="zh-CN"/>
        </w:rPr>
      </w:pPr>
      <w:r>
        <w:rPr>
          <w:rFonts w:hint="eastAsia" w:ascii="Times New Roman" w:hAnsi="Times New Roman"/>
          <w:b w:val="0"/>
          <w:bCs w:val="0"/>
          <w:kern w:val="0"/>
          <w:sz w:val="24"/>
          <w:szCs w:val="24"/>
          <w:lang w:val="en-US" w:eastAsia="zh-CN"/>
        </w:rPr>
        <w:t>2、一次性报价，</w:t>
      </w:r>
      <w:r>
        <w:rPr>
          <w:rFonts w:hint="eastAsia" w:asciiTheme="minorEastAsia" w:hAnsiTheme="minorEastAsia" w:eastAsiaTheme="minorEastAsia"/>
          <w:b w:val="0"/>
          <w:bCs w:val="0"/>
          <w:color w:val="auto"/>
          <w:kern w:val="0"/>
          <w:sz w:val="24"/>
          <w:szCs w:val="24"/>
          <w:lang w:val="en-US" w:eastAsia="zh-CN"/>
        </w:rPr>
        <w:t>报价超过采购最高限价为无效响应文件。</w:t>
      </w:r>
    </w:p>
    <w:p>
      <w:pPr>
        <w:pageBreakBefore w:val="0"/>
        <w:kinsoku/>
        <w:wordWrap/>
        <w:overflowPunct/>
        <w:topLinePunct w:val="0"/>
        <w:bidi w:val="0"/>
        <w:snapToGrid/>
        <w:spacing w:line="400" w:lineRule="exact"/>
        <w:textAlignment w:val="auto"/>
        <w:rPr>
          <w:rFonts w:hint="default" w:ascii="Times New Roman" w:hAnsi="Times New Roman" w:eastAsia="宋体"/>
          <w:kern w:val="0"/>
          <w:sz w:val="24"/>
          <w:szCs w:val="24"/>
          <w:lang w:val="en-US" w:eastAsia="zh-CN"/>
        </w:rPr>
      </w:pPr>
      <w:r>
        <w:rPr>
          <w:rFonts w:hint="eastAsia" w:ascii="Times New Roman" w:hAnsi="Times New Roman"/>
          <w:b w:val="0"/>
          <w:bCs w:val="0"/>
          <w:kern w:val="0"/>
          <w:sz w:val="24"/>
          <w:szCs w:val="24"/>
          <w:lang w:val="en-US" w:eastAsia="zh-CN"/>
        </w:rPr>
        <w:t>3、</w:t>
      </w:r>
      <w:r>
        <w:rPr>
          <w:rFonts w:hint="eastAsia" w:ascii="Times New Roman" w:hAnsi="Times New Roman"/>
          <w:kern w:val="0"/>
          <w:sz w:val="24"/>
          <w:szCs w:val="24"/>
          <w:lang w:val="en-US" w:eastAsia="zh-CN"/>
        </w:rPr>
        <w:t>供应商无须到开标现场，请保持通讯畅通。</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lang w:eastAsia="zh-CN"/>
        </w:rPr>
        <w:t>九</w:t>
      </w:r>
      <w:r>
        <w:rPr>
          <w:rFonts w:hint="eastAsia" w:ascii="Times New Roman" w:hAnsi="Times New Roman"/>
          <w:b/>
          <w:kern w:val="0"/>
          <w:sz w:val="24"/>
          <w:szCs w:val="24"/>
        </w:rPr>
        <w:t>、</w:t>
      </w:r>
      <w:r>
        <w:rPr>
          <w:rFonts w:ascii="Times New Roman" w:hAnsi="Times New Roman"/>
          <w:b/>
          <w:bCs/>
          <w:sz w:val="24"/>
          <w:szCs w:val="24"/>
        </w:rPr>
        <w:t>比选时间：</w:t>
      </w:r>
      <w:r>
        <w:rPr>
          <w:rFonts w:ascii="Times New Roman" w:hAnsi="Times New Roman"/>
          <w:b w:val="0"/>
          <w:bCs/>
          <w:sz w:val="24"/>
          <w:szCs w:val="24"/>
        </w:rPr>
        <w:t>202</w:t>
      </w:r>
      <w:r>
        <w:rPr>
          <w:rFonts w:hint="eastAsia" w:ascii="Times New Roman" w:hAnsi="Times New Roman"/>
          <w:b w:val="0"/>
          <w:bCs/>
          <w:sz w:val="24"/>
          <w:szCs w:val="24"/>
          <w:lang w:val="en-US" w:eastAsia="zh-CN"/>
        </w:rPr>
        <w:t>4</w:t>
      </w:r>
      <w:r>
        <w:rPr>
          <w:rFonts w:ascii="Times New Roman" w:hAnsi="Times New Roman"/>
          <w:b w:val="0"/>
          <w:bCs/>
          <w:kern w:val="0"/>
          <w:sz w:val="24"/>
          <w:szCs w:val="24"/>
        </w:rPr>
        <w:t>年</w:t>
      </w:r>
      <w:r>
        <w:rPr>
          <w:rFonts w:hint="eastAsia" w:ascii="Times New Roman" w:hAnsi="Times New Roman"/>
          <w:b w:val="0"/>
          <w:bCs/>
          <w:kern w:val="0"/>
          <w:sz w:val="24"/>
          <w:szCs w:val="24"/>
          <w:lang w:val="en-US" w:eastAsia="zh-CN"/>
        </w:rPr>
        <w:t>01</w:t>
      </w:r>
      <w:r>
        <w:rPr>
          <w:rFonts w:ascii="Times New Roman" w:hAnsi="Times New Roman"/>
          <w:b w:val="0"/>
          <w:bCs/>
          <w:kern w:val="0"/>
          <w:sz w:val="24"/>
          <w:szCs w:val="24"/>
        </w:rPr>
        <w:t>月</w:t>
      </w:r>
      <w:r>
        <w:rPr>
          <w:rFonts w:hint="eastAsia" w:ascii="Times New Roman" w:hAnsi="Times New Roman"/>
          <w:b w:val="0"/>
          <w:bCs/>
          <w:kern w:val="0"/>
          <w:sz w:val="24"/>
          <w:szCs w:val="24"/>
          <w:lang w:val="en-US" w:eastAsia="zh-CN"/>
        </w:rPr>
        <w:t>15</w:t>
      </w:r>
      <w:r>
        <w:rPr>
          <w:rFonts w:ascii="Times New Roman" w:hAnsi="Times New Roman"/>
          <w:b w:val="0"/>
          <w:bCs/>
          <w:kern w:val="0"/>
          <w:sz w:val="24"/>
          <w:szCs w:val="24"/>
        </w:rPr>
        <w:t>日1</w:t>
      </w:r>
      <w:r>
        <w:rPr>
          <w:rFonts w:hint="eastAsia" w:ascii="Times New Roman" w:hAnsi="Times New Roman"/>
          <w:b w:val="0"/>
          <w:bCs/>
          <w:kern w:val="0"/>
          <w:sz w:val="24"/>
          <w:szCs w:val="24"/>
          <w:lang w:val="en-US" w:eastAsia="zh-CN"/>
        </w:rPr>
        <w:t>5：0</w:t>
      </w:r>
      <w:r>
        <w:rPr>
          <w:rFonts w:ascii="Times New Roman" w:hAnsi="Times New Roman"/>
          <w:b w:val="0"/>
          <w:bCs/>
          <w:kern w:val="0"/>
          <w:sz w:val="24"/>
          <w:szCs w:val="24"/>
        </w:rPr>
        <w:t>0（北京时间）。</w:t>
      </w:r>
    </w:p>
    <w:p>
      <w:pPr>
        <w:pageBreakBefore w:val="0"/>
        <w:kinsoku/>
        <w:wordWrap/>
        <w:overflowPunct/>
        <w:topLinePunct w:val="0"/>
        <w:bidi w:val="0"/>
        <w:snapToGrid/>
        <w:spacing w:line="400" w:lineRule="exact"/>
        <w:textAlignment w:val="auto"/>
        <w:rPr>
          <w:rFonts w:ascii="Times New Roman" w:hAnsi="Times New Roman"/>
          <w:b w:val="0"/>
          <w:bCs/>
          <w:kern w:val="0"/>
          <w:sz w:val="24"/>
          <w:szCs w:val="24"/>
        </w:rPr>
      </w:pPr>
      <w:r>
        <w:rPr>
          <w:rFonts w:hint="eastAsia" w:ascii="Times New Roman" w:hAnsi="Times New Roman"/>
          <w:b/>
          <w:kern w:val="0"/>
          <w:sz w:val="24"/>
          <w:szCs w:val="24"/>
          <w:lang w:eastAsia="zh-CN"/>
        </w:rPr>
        <w:t>十</w:t>
      </w:r>
      <w:r>
        <w:rPr>
          <w:rFonts w:hint="eastAsia" w:ascii="Times New Roman" w:hAnsi="Times New Roman"/>
          <w:b/>
          <w:kern w:val="0"/>
          <w:sz w:val="24"/>
          <w:szCs w:val="24"/>
        </w:rPr>
        <w:t>、</w:t>
      </w:r>
      <w:r>
        <w:rPr>
          <w:rFonts w:ascii="Times New Roman" w:hAnsi="Times New Roman"/>
          <w:b/>
          <w:bCs/>
          <w:sz w:val="24"/>
          <w:szCs w:val="24"/>
        </w:rPr>
        <w:t>比选地点：</w:t>
      </w:r>
      <w:r>
        <w:rPr>
          <w:rFonts w:hint="eastAsia" w:ascii="Times New Roman" w:hAnsi="Times New Roman"/>
          <w:b w:val="0"/>
          <w:bCs/>
          <w:sz w:val="24"/>
          <w:szCs w:val="24"/>
        </w:rPr>
        <w:t>三台县人民医院行政楼</w:t>
      </w:r>
      <w:r>
        <w:rPr>
          <w:rFonts w:hint="eastAsia" w:ascii="Times New Roman" w:hAnsi="Times New Roman"/>
          <w:b w:val="0"/>
          <w:bCs/>
          <w:sz w:val="24"/>
          <w:szCs w:val="24"/>
          <w:lang w:val="en-US" w:eastAsia="zh-CN"/>
        </w:rPr>
        <w:t>二</w:t>
      </w:r>
      <w:r>
        <w:rPr>
          <w:rFonts w:hint="eastAsia" w:ascii="Times New Roman" w:hAnsi="Times New Roman"/>
          <w:b w:val="0"/>
          <w:bCs/>
          <w:sz w:val="24"/>
          <w:szCs w:val="24"/>
        </w:rPr>
        <w:t>楼会议室</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w:t>
      </w:r>
      <w:r>
        <w:rPr>
          <w:rFonts w:hint="eastAsia" w:ascii="Times New Roman" w:hAnsi="Times New Roman"/>
          <w:b/>
          <w:kern w:val="0"/>
          <w:sz w:val="24"/>
          <w:szCs w:val="24"/>
          <w:lang w:eastAsia="zh-CN"/>
        </w:rPr>
        <w:t>一</w:t>
      </w:r>
      <w:r>
        <w:rPr>
          <w:rFonts w:hint="eastAsia" w:ascii="Times New Roman" w:hAnsi="Times New Roman"/>
          <w:b/>
          <w:kern w:val="0"/>
          <w:sz w:val="24"/>
          <w:szCs w:val="24"/>
        </w:rPr>
        <w:t>、</w:t>
      </w:r>
      <w:r>
        <w:rPr>
          <w:rFonts w:ascii="Times New Roman" w:hAnsi="Times New Roman"/>
          <w:b/>
          <w:bCs/>
          <w:sz w:val="24"/>
          <w:szCs w:val="24"/>
        </w:rPr>
        <w:t>比选</w:t>
      </w:r>
      <w:r>
        <w:rPr>
          <w:rFonts w:hint="eastAsia" w:ascii="Times New Roman" w:hAnsi="Times New Roman"/>
          <w:b/>
          <w:bCs/>
          <w:sz w:val="24"/>
          <w:szCs w:val="24"/>
          <w:lang w:eastAsia="zh-CN"/>
        </w:rPr>
        <w:t>结果</w:t>
      </w:r>
      <w:r>
        <w:rPr>
          <w:rFonts w:ascii="Times New Roman" w:hAnsi="Times New Roman"/>
          <w:b/>
          <w:bCs/>
          <w:sz w:val="24"/>
          <w:szCs w:val="24"/>
        </w:rPr>
        <w:t>将在</w:t>
      </w:r>
      <w:r>
        <w:rPr>
          <w:rFonts w:hint="eastAsia" w:ascii="Times New Roman" w:hAnsi="Times New Roman"/>
          <w:b/>
          <w:bCs/>
          <w:sz w:val="24"/>
          <w:szCs w:val="24"/>
        </w:rPr>
        <w:t>三台县人民医院官网</w:t>
      </w:r>
      <w:r>
        <w:rPr>
          <w:rFonts w:ascii="Times New Roman" w:hAnsi="Times New Roman"/>
          <w:b/>
          <w:bCs/>
          <w:sz w:val="24"/>
          <w:szCs w:val="24"/>
        </w:rPr>
        <w:t>发布。</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w:t>
      </w:r>
      <w:r>
        <w:rPr>
          <w:rFonts w:hint="eastAsia" w:ascii="Times New Roman" w:hAnsi="Times New Roman"/>
          <w:b/>
          <w:kern w:val="0"/>
          <w:sz w:val="24"/>
          <w:szCs w:val="24"/>
          <w:lang w:eastAsia="zh-CN"/>
        </w:rPr>
        <w:t>二</w:t>
      </w:r>
      <w:r>
        <w:rPr>
          <w:rFonts w:hint="eastAsia" w:ascii="Times New Roman" w:hAnsi="Times New Roman"/>
          <w:b/>
          <w:kern w:val="0"/>
          <w:sz w:val="24"/>
          <w:szCs w:val="24"/>
        </w:rPr>
        <w:t>、</w:t>
      </w:r>
      <w:r>
        <w:rPr>
          <w:rFonts w:ascii="Times New Roman" w:hAnsi="Times New Roman"/>
          <w:b/>
          <w:bCs/>
          <w:sz w:val="24"/>
          <w:szCs w:val="24"/>
        </w:rPr>
        <w:t>联系方式</w:t>
      </w:r>
    </w:p>
    <w:p>
      <w:pPr>
        <w:pageBreakBefore w:val="0"/>
        <w:tabs>
          <w:tab w:val="left" w:pos="2310"/>
        </w:tabs>
        <w:kinsoku/>
        <w:wordWrap/>
        <w:overflowPunct/>
        <w:topLinePunct w:val="0"/>
        <w:bidi w:val="0"/>
        <w:snapToGrid/>
        <w:spacing w:line="400" w:lineRule="exact"/>
        <w:ind w:left="560"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pPr>
        <w:pStyle w:val="46"/>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地  址：</w:t>
      </w:r>
      <w:r>
        <w:rPr>
          <w:rFonts w:hint="eastAsia"/>
          <w:sz w:val="24"/>
          <w:szCs w:val="24"/>
        </w:rPr>
        <w:t>三台县潼川镇解放下街139号</w:t>
      </w:r>
    </w:p>
    <w:p>
      <w:pPr>
        <w:pStyle w:val="46"/>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联系人：</w:t>
      </w:r>
      <w:r>
        <w:rPr>
          <w:rFonts w:hint="eastAsia"/>
          <w:sz w:val="24"/>
          <w:szCs w:val="24"/>
        </w:rPr>
        <w:t>张老师</w:t>
      </w:r>
    </w:p>
    <w:p>
      <w:pPr>
        <w:pStyle w:val="46"/>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418004672"/>
      <w:bookmarkStart w:id="2" w:name="_Toc52036323"/>
      <w:bookmarkStart w:id="3" w:name="_Toc520455380"/>
      <w:r>
        <w:rPr>
          <w:sz w:val="24"/>
          <w:szCs w:val="24"/>
        </w:rPr>
        <w:t xml:space="preserve"> </w:t>
      </w:r>
      <w:bookmarkEnd w:id="1"/>
      <w:bookmarkEnd w:id="2"/>
      <w:bookmarkEnd w:id="3"/>
      <w:bookmarkStart w:id="4" w:name="_Toc52036324"/>
    </w:p>
    <w:p>
      <w:pPr>
        <w:rPr>
          <w:sz w:val="24"/>
          <w:szCs w:val="24"/>
        </w:rPr>
      </w:pPr>
      <w:r>
        <w:rPr>
          <w:sz w:val="24"/>
          <w:szCs w:val="24"/>
        </w:rPr>
        <w:br w:type="page"/>
      </w:r>
    </w:p>
    <w:p>
      <w:pPr>
        <w:keepNext w:val="0"/>
        <w:keepLines w:val="0"/>
        <w:pageBreakBefore w:val="0"/>
        <w:widowControl/>
        <w:kinsoku/>
        <w:wordWrap/>
        <w:overflowPunct/>
        <w:topLinePunct w:val="0"/>
        <w:autoSpaceDE/>
        <w:autoSpaceDN/>
        <w:bidi w:val="0"/>
        <w:adjustRightInd/>
        <w:snapToGrid/>
        <w:spacing w:line="420" w:lineRule="exact"/>
        <w:jc w:val="center"/>
        <w:rPr>
          <w:rFonts w:ascii="Times New Roman" w:hAnsi="Times New Roman"/>
          <w:b/>
          <w:kern w:val="0"/>
          <w:sz w:val="24"/>
          <w:szCs w:val="28"/>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比选项目技术、服务、商务要求</w:t>
      </w:r>
      <w:bookmarkEnd w:id="4"/>
    </w:p>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b/>
          <w:kern w:val="0"/>
          <w:sz w:val="28"/>
          <w:szCs w:val="28"/>
          <w:lang w:eastAsia="zh-CN"/>
        </w:rPr>
      </w:pPr>
    </w:p>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宋体" w:hAnsi="宋体" w:eastAsia="宋体" w:cs="宋体"/>
          <w:b/>
          <w:bCs/>
          <w:color w:val="auto"/>
          <w:kern w:val="2"/>
          <w:sz w:val="24"/>
          <w:szCs w:val="24"/>
          <w:lang w:val="en-US" w:eastAsia="zh-CN" w:bidi="ar-SA"/>
        </w:rPr>
      </w:pPr>
      <w:r>
        <w:rPr>
          <w:rFonts w:hint="eastAsia" w:asciiTheme="minorEastAsia" w:hAnsiTheme="minorEastAsia" w:eastAsiaTheme="minorEastAsia"/>
          <w:b/>
          <w:kern w:val="0"/>
          <w:sz w:val="28"/>
          <w:szCs w:val="28"/>
          <w:lang w:eastAsia="zh-CN"/>
        </w:rPr>
        <w:t>一、技术参数及要求</w:t>
      </w:r>
      <w:bookmarkStart w:id="5" w:name="_Toc233048245"/>
      <w:bookmarkStart w:id="6" w:name="_Toc350964160"/>
    </w:p>
    <w:p>
      <w:pPr>
        <w:pStyle w:val="54"/>
        <w:numPr>
          <w:ilvl w:val="0"/>
          <w:numId w:val="0"/>
        </w:numPr>
        <w:autoSpaceDE w:val="0"/>
        <w:autoSpaceDN w:val="0"/>
        <w:adjustRightInd w:val="0"/>
        <w:spacing w:line="360" w:lineRule="auto"/>
        <w:ind w:left="-141" w:leftChars="0"/>
        <w:jc w:val="left"/>
        <w:rPr>
          <w:rFonts w:ascii="宋体" w:hAnsi="宋体" w:cs="宋体"/>
          <w:b/>
          <w:color w:val="000000"/>
          <w:kern w:val="0"/>
          <w:sz w:val="24"/>
        </w:rPr>
      </w:pPr>
      <w:r>
        <w:rPr>
          <w:rFonts w:hint="eastAsia" w:ascii="宋体" w:hAnsi="宋体" w:cs="宋体"/>
          <w:b/>
          <w:kern w:val="0"/>
          <w:sz w:val="24"/>
          <w:lang w:val="en-US" w:eastAsia="zh-CN"/>
        </w:rPr>
        <w:t>1、</w:t>
      </w:r>
      <w:r>
        <w:rPr>
          <w:rFonts w:hint="eastAsia" w:ascii="宋体" w:hAnsi="宋体" w:cs="宋体"/>
          <w:b/>
          <w:kern w:val="0"/>
          <w:sz w:val="24"/>
        </w:rPr>
        <w:t>整机要求：</w:t>
      </w:r>
    </w:p>
    <w:p>
      <w:pPr>
        <w:pStyle w:val="54"/>
        <w:numPr>
          <w:ilvl w:val="1"/>
          <w:numId w:val="1"/>
        </w:numPr>
        <w:autoSpaceDE w:val="0"/>
        <w:autoSpaceDN w:val="0"/>
        <w:adjustRightInd w:val="0"/>
        <w:spacing w:line="360" w:lineRule="auto"/>
        <w:ind w:firstLineChars="0"/>
        <w:jc w:val="left"/>
        <w:rPr>
          <w:rFonts w:ascii="宋体" w:hAnsi="宋体" w:cs="宋体"/>
          <w:color w:val="000000"/>
          <w:kern w:val="0"/>
          <w:sz w:val="24"/>
        </w:rPr>
      </w:pPr>
      <w:r>
        <w:rPr>
          <w:rFonts w:hint="eastAsia" w:ascii="宋体" w:hAnsi="宋体"/>
          <w:color w:val="000000"/>
          <w:sz w:val="24"/>
        </w:rPr>
        <w:t>一体化监护仪，整机无风扇设计，配置提手。</w:t>
      </w:r>
      <w:r>
        <w:rPr>
          <w:rFonts w:hint="eastAsia" w:ascii="宋体" w:hAnsi="宋体" w:cs="宋体"/>
          <w:color w:val="000000"/>
          <w:kern w:val="0"/>
          <w:sz w:val="24"/>
        </w:rPr>
        <w:t xml:space="preserve"> </w:t>
      </w:r>
    </w:p>
    <w:p>
      <w:pPr>
        <w:pStyle w:val="54"/>
        <w:numPr>
          <w:ilvl w:val="1"/>
          <w:numId w:val="1"/>
        </w:numPr>
        <w:autoSpaceDE w:val="0"/>
        <w:autoSpaceDN w:val="0"/>
        <w:adjustRightInd w:val="0"/>
        <w:spacing w:line="360" w:lineRule="auto"/>
        <w:ind w:firstLineChars="0"/>
        <w:jc w:val="left"/>
        <w:rPr>
          <w:rFonts w:ascii="宋体" w:hAnsi="宋体"/>
          <w:color w:val="000000"/>
          <w:sz w:val="24"/>
        </w:rPr>
      </w:pPr>
      <w:r>
        <w:rPr>
          <w:rFonts w:hint="eastAsia" w:ascii="宋体" w:hAnsi="宋体"/>
          <w:color w:val="000000"/>
          <w:sz w:val="24"/>
        </w:rPr>
        <w:t>≥10英寸彩</w:t>
      </w:r>
      <w:r>
        <w:rPr>
          <w:rFonts w:ascii="宋体" w:hAnsi="宋体"/>
          <w:color w:val="000000"/>
          <w:sz w:val="24"/>
        </w:rPr>
        <w:t>色</w:t>
      </w:r>
      <w:r>
        <w:rPr>
          <w:rFonts w:hint="eastAsia" w:ascii="宋体" w:hAnsi="宋体"/>
          <w:color w:val="000000"/>
          <w:sz w:val="24"/>
        </w:rPr>
        <w:t>液晶电容屏触摸屏，分辨率≥</w:t>
      </w:r>
      <w:r>
        <w:rPr>
          <w:rFonts w:ascii="宋体" w:hAnsi="宋体"/>
          <w:color w:val="000000"/>
          <w:sz w:val="24"/>
        </w:rPr>
        <w:t>1280</w:t>
      </w:r>
      <w:r>
        <w:rPr>
          <w:rFonts w:hint="eastAsia" w:ascii="宋体" w:hAnsi="宋体"/>
          <w:color w:val="000000"/>
          <w:sz w:val="24"/>
        </w:rPr>
        <w:t>*</w:t>
      </w:r>
      <w:r>
        <w:rPr>
          <w:rFonts w:ascii="宋体" w:hAnsi="宋体"/>
          <w:color w:val="000000"/>
          <w:sz w:val="24"/>
        </w:rPr>
        <w:t>8</w:t>
      </w:r>
      <w:r>
        <w:rPr>
          <w:rFonts w:hint="eastAsia" w:ascii="宋体" w:hAnsi="宋体"/>
          <w:color w:val="000000"/>
          <w:sz w:val="24"/>
        </w:rPr>
        <w:t>00，≥8通</w:t>
      </w:r>
      <w:r>
        <w:rPr>
          <w:rFonts w:ascii="宋体" w:hAnsi="宋体"/>
          <w:color w:val="000000"/>
          <w:sz w:val="24"/>
        </w:rPr>
        <w:t>道</w:t>
      </w:r>
      <w:r>
        <w:rPr>
          <w:rFonts w:hint="eastAsia" w:ascii="宋体" w:hAnsi="宋体"/>
          <w:color w:val="000000"/>
          <w:sz w:val="24"/>
        </w:rPr>
        <w:t>波形</w:t>
      </w:r>
      <w:r>
        <w:rPr>
          <w:rFonts w:ascii="宋体" w:hAnsi="宋体"/>
          <w:color w:val="000000"/>
          <w:sz w:val="24"/>
        </w:rPr>
        <w:t>显示</w:t>
      </w:r>
      <w:r>
        <w:rPr>
          <w:rFonts w:hint="eastAsia" w:ascii="宋体" w:hAnsi="宋体"/>
          <w:color w:val="000000"/>
          <w:sz w:val="24"/>
        </w:rPr>
        <w:t>，支持多点触控。显示屏</w:t>
      </w:r>
      <w:r>
        <w:rPr>
          <w:rFonts w:ascii="宋体" w:hAnsi="宋体"/>
          <w:color w:val="000000"/>
          <w:sz w:val="24"/>
        </w:rPr>
        <w:t>支持</w:t>
      </w:r>
      <w:r>
        <w:rPr>
          <w:rFonts w:hint="eastAsia" w:ascii="宋体" w:hAnsi="宋体"/>
          <w:color w:val="000000"/>
          <w:sz w:val="24"/>
        </w:rPr>
        <w:t>≥170度可视</w:t>
      </w:r>
      <w:r>
        <w:rPr>
          <w:rFonts w:ascii="宋体" w:hAnsi="宋体"/>
          <w:color w:val="000000"/>
          <w:sz w:val="24"/>
        </w:rPr>
        <w:t>范围</w:t>
      </w:r>
      <w:r>
        <w:rPr>
          <w:rFonts w:hint="eastAsia" w:ascii="宋体" w:hAnsi="宋体"/>
          <w:color w:val="000000"/>
          <w:sz w:val="24"/>
        </w:rPr>
        <w:t>。</w:t>
      </w:r>
    </w:p>
    <w:p>
      <w:pPr>
        <w:pStyle w:val="54"/>
        <w:numPr>
          <w:ilvl w:val="1"/>
          <w:numId w:val="1"/>
        </w:numPr>
        <w:autoSpaceDE w:val="0"/>
        <w:autoSpaceDN w:val="0"/>
        <w:adjustRightInd w:val="0"/>
        <w:spacing w:line="360" w:lineRule="auto"/>
        <w:ind w:firstLineChars="0"/>
        <w:jc w:val="left"/>
        <w:rPr>
          <w:rFonts w:ascii="宋体" w:hAnsi="宋体"/>
          <w:color w:val="000000"/>
          <w:sz w:val="24"/>
        </w:rPr>
      </w:pPr>
      <w:r>
        <w:rPr>
          <w:rFonts w:hint="eastAsia" w:ascii="宋体" w:hAnsi="宋体"/>
          <w:color w:val="000000"/>
          <w:sz w:val="24"/>
        </w:rPr>
        <w:t>内置锂电池，插槽式设计，可快速拆卸和安装，锂电池支持监护仪工作时间≥4小时。</w:t>
      </w:r>
    </w:p>
    <w:p>
      <w:pPr>
        <w:pStyle w:val="54"/>
        <w:numPr>
          <w:ilvl w:val="1"/>
          <w:numId w:val="1"/>
        </w:numPr>
        <w:autoSpaceDE w:val="0"/>
        <w:autoSpaceDN w:val="0"/>
        <w:adjustRightInd w:val="0"/>
        <w:spacing w:line="360" w:lineRule="auto"/>
        <w:ind w:firstLineChars="0"/>
        <w:jc w:val="left"/>
        <w:rPr>
          <w:rFonts w:ascii="宋体" w:hAnsi="宋体"/>
          <w:color w:val="000000"/>
          <w:sz w:val="24"/>
        </w:rPr>
      </w:pPr>
      <w:r>
        <w:rPr>
          <w:rFonts w:hint="eastAsia" w:ascii="宋体" w:hAnsi="宋体"/>
          <w:color w:val="000000"/>
          <w:sz w:val="24"/>
        </w:rPr>
        <w:t>安全规格：ECG, TEMP, SpO2 , NIBP监测参数抗电击程度为防除颤CF型，监护仪设计使用年限≥</w:t>
      </w:r>
      <w:r>
        <w:rPr>
          <w:rFonts w:ascii="宋体" w:hAnsi="宋体"/>
          <w:color w:val="000000"/>
          <w:sz w:val="24"/>
        </w:rPr>
        <w:t>10</w:t>
      </w:r>
      <w:r>
        <w:rPr>
          <w:rFonts w:hint="eastAsia" w:ascii="宋体" w:hAnsi="宋体"/>
          <w:color w:val="000000"/>
          <w:sz w:val="24"/>
        </w:rPr>
        <w:t>年。</w:t>
      </w:r>
    </w:p>
    <w:p>
      <w:pPr>
        <w:pStyle w:val="54"/>
        <w:numPr>
          <w:ilvl w:val="1"/>
          <w:numId w:val="1"/>
        </w:numPr>
        <w:autoSpaceDE w:val="0"/>
        <w:autoSpaceDN w:val="0"/>
        <w:adjustRightInd w:val="0"/>
        <w:spacing w:line="360" w:lineRule="auto"/>
        <w:ind w:firstLineChars="0"/>
        <w:jc w:val="left"/>
        <w:rPr>
          <w:rFonts w:ascii="宋体" w:hAnsi="宋体"/>
          <w:color w:val="000000"/>
          <w:sz w:val="24"/>
        </w:rPr>
      </w:pPr>
      <w:r>
        <w:rPr>
          <w:rFonts w:hint="eastAsia" w:ascii="宋体" w:hAnsi="宋体"/>
          <w:color w:val="000000"/>
          <w:sz w:val="24"/>
        </w:rPr>
        <w:t>主机防</w:t>
      </w:r>
      <w:r>
        <w:rPr>
          <w:rFonts w:ascii="宋体" w:hAnsi="宋体"/>
          <w:color w:val="000000"/>
          <w:sz w:val="24"/>
        </w:rPr>
        <w:t>水等级</w:t>
      </w:r>
      <w:r>
        <w:rPr>
          <w:rFonts w:hint="eastAsia" w:ascii="宋体" w:hAnsi="宋体"/>
          <w:color w:val="000000"/>
          <w:sz w:val="24"/>
        </w:rPr>
        <w:t>≥IPX1，整机抗跌落≥0</w:t>
      </w:r>
      <w:r>
        <w:rPr>
          <w:rFonts w:ascii="宋体" w:hAnsi="宋体"/>
          <w:color w:val="000000"/>
          <w:sz w:val="24"/>
        </w:rPr>
        <w:t>.75</w:t>
      </w:r>
      <w:r>
        <w:rPr>
          <w:rFonts w:hint="eastAsia" w:ascii="宋体" w:hAnsi="宋体"/>
          <w:color w:val="000000"/>
          <w:sz w:val="24"/>
        </w:rPr>
        <w:t>米6面，并通过</w:t>
      </w:r>
      <w:r>
        <w:rPr>
          <w:rFonts w:ascii="宋体" w:hAnsi="宋体"/>
          <w:color w:val="000000"/>
          <w:sz w:val="24"/>
        </w:rPr>
        <w:t>测试。</w:t>
      </w:r>
    </w:p>
    <w:p>
      <w:pPr>
        <w:pStyle w:val="54"/>
        <w:numPr>
          <w:ilvl w:val="1"/>
          <w:numId w:val="1"/>
        </w:numPr>
        <w:autoSpaceDE w:val="0"/>
        <w:autoSpaceDN w:val="0"/>
        <w:adjustRightInd w:val="0"/>
        <w:spacing w:line="360" w:lineRule="auto"/>
        <w:ind w:firstLineChars="0"/>
        <w:jc w:val="left"/>
        <w:rPr>
          <w:rFonts w:ascii="宋体" w:hAnsi="宋体"/>
          <w:color w:val="000000"/>
          <w:sz w:val="24"/>
        </w:rPr>
      </w:pPr>
      <w:r>
        <w:rPr>
          <w:rFonts w:hint="eastAsia" w:ascii="宋体" w:hAnsi="宋体" w:cs="宋体"/>
          <w:color w:val="000000"/>
          <w:sz w:val="24"/>
        </w:rPr>
        <w:t>▲</w:t>
      </w:r>
      <w:r>
        <w:rPr>
          <w:rFonts w:hint="eastAsia" w:ascii="宋体" w:hAnsi="宋体"/>
          <w:color w:val="000000"/>
          <w:sz w:val="24"/>
        </w:rPr>
        <w:t>监护仪清洁消毒维护支持的消毒剂≥40种</w:t>
      </w:r>
      <w:r>
        <w:rPr>
          <w:rFonts w:hint="eastAsia" w:ascii="宋体" w:hAnsi="宋体"/>
          <w:color w:val="000000"/>
          <w:sz w:val="24"/>
          <w:lang w:eastAsia="zh-CN"/>
        </w:rPr>
        <w:t>。</w:t>
      </w:r>
    </w:p>
    <w:p>
      <w:pPr>
        <w:pStyle w:val="54"/>
        <w:numPr>
          <w:ilvl w:val="0"/>
          <w:numId w:val="1"/>
        </w:numPr>
        <w:autoSpaceDE w:val="0"/>
        <w:autoSpaceDN w:val="0"/>
        <w:adjustRightInd w:val="0"/>
        <w:spacing w:line="360" w:lineRule="auto"/>
        <w:ind w:left="284" w:firstLineChars="0"/>
        <w:jc w:val="left"/>
        <w:rPr>
          <w:rFonts w:ascii="宋体" w:hAnsi="宋体" w:cs="宋体"/>
          <w:b/>
          <w:color w:val="000000"/>
          <w:kern w:val="0"/>
          <w:sz w:val="24"/>
        </w:rPr>
      </w:pPr>
      <w:r>
        <w:rPr>
          <w:rFonts w:hint="eastAsia" w:ascii="宋体" w:hAnsi="宋体" w:cs="宋体"/>
          <w:b/>
          <w:color w:val="000000"/>
          <w:kern w:val="0"/>
          <w:sz w:val="24"/>
          <w:lang w:eastAsia="zh-CN"/>
        </w:rPr>
        <w:t>、</w:t>
      </w:r>
      <w:r>
        <w:rPr>
          <w:rFonts w:hint="eastAsia" w:ascii="宋体" w:hAnsi="宋体" w:cs="宋体"/>
          <w:b/>
          <w:color w:val="000000"/>
          <w:kern w:val="0"/>
          <w:sz w:val="24"/>
        </w:rPr>
        <w:t>监测参数：</w:t>
      </w:r>
    </w:p>
    <w:p>
      <w:pPr>
        <w:pStyle w:val="54"/>
        <w:numPr>
          <w:ilvl w:val="1"/>
          <w:numId w:val="1"/>
        </w:numPr>
        <w:autoSpaceDE w:val="0"/>
        <w:autoSpaceDN w:val="0"/>
        <w:adjustRightInd w:val="0"/>
        <w:spacing w:line="360" w:lineRule="auto"/>
        <w:ind w:firstLineChars="0"/>
        <w:jc w:val="left"/>
        <w:rPr>
          <w:rFonts w:ascii="宋体" w:hAnsi="宋体"/>
          <w:color w:val="000000"/>
          <w:sz w:val="24"/>
        </w:rPr>
      </w:pPr>
      <w:r>
        <w:rPr>
          <w:rFonts w:hint="eastAsia" w:ascii="宋体" w:hAnsi="宋体"/>
          <w:color w:val="000000"/>
          <w:sz w:val="24"/>
        </w:rPr>
        <w:t>配置3/5导心电，呼吸，无创血压，血氧饱和度，脉搏和双通道体温参数监测，以上参数均适用于成人、小儿、新生儿患者。</w:t>
      </w:r>
    </w:p>
    <w:p>
      <w:pPr>
        <w:pStyle w:val="54"/>
        <w:numPr>
          <w:ilvl w:val="1"/>
          <w:numId w:val="1"/>
        </w:numPr>
        <w:autoSpaceDE w:val="0"/>
        <w:autoSpaceDN w:val="0"/>
        <w:adjustRightInd w:val="0"/>
        <w:spacing w:line="360" w:lineRule="auto"/>
        <w:ind w:firstLineChars="0"/>
        <w:jc w:val="left"/>
        <w:rPr>
          <w:rFonts w:ascii="宋体" w:hAnsi="宋体"/>
          <w:color w:val="000000"/>
          <w:sz w:val="24"/>
        </w:rPr>
      </w:pPr>
      <w:r>
        <w:rPr>
          <w:rFonts w:hint="eastAsia" w:ascii="宋体" w:hAnsi="宋体"/>
          <w:color w:val="000000"/>
          <w:sz w:val="24"/>
        </w:rPr>
        <w:t>心电监护支持心率，ST段测量，心律失常分析，QT/QTc连续实时测量和对应报警功能，支持成人、小儿、新生儿患者。</w:t>
      </w:r>
    </w:p>
    <w:p>
      <w:pPr>
        <w:pStyle w:val="54"/>
        <w:numPr>
          <w:ilvl w:val="1"/>
          <w:numId w:val="1"/>
        </w:numPr>
        <w:autoSpaceDE w:val="0"/>
        <w:autoSpaceDN w:val="0"/>
        <w:adjustRightInd w:val="0"/>
        <w:spacing w:line="360" w:lineRule="auto"/>
        <w:ind w:firstLineChars="0"/>
        <w:jc w:val="left"/>
        <w:rPr>
          <w:rFonts w:ascii="宋体" w:hAnsi="宋体"/>
          <w:color w:val="000000"/>
          <w:sz w:val="24"/>
        </w:rPr>
      </w:pPr>
      <w:r>
        <w:rPr>
          <w:rFonts w:hint="eastAsia" w:ascii="宋体" w:hAnsi="宋体"/>
          <w:color w:val="000000"/>
          <w:sz w:val="24"/>
        </w:rPr>
        <w:t>心电波形扫描速度支持</w:t>
      </w:r>
      <w:r>
        <w:rPr>
          <w:rFonts w:ascii="宋体" w:hAnsi="宋体"/>
          <w:color w:val="000000"/>
          <w:sz w:val="24"/>
        </w:rPr>
        <w:t>6.25mm/s</w:t>
      </w:r>
      <w:r>
        <w:rPr>
          <w:rFonts w:hint="eastAsia" w:ascii="宋体" w:hAnsi="宋体"/>
          <w:color w:val="000000"/>
          <w:sz w:val="24"/>
        </w:rPr>
        <w:t>、</w:t>
      </w:r>
      <w:r>
        <w:rPr>
          <w:rFonts w:ascii="宋体" w:hAnsi="宋体"/>
          <w:color w:val="000000"/>
          <w:sz w:val="24"/>
        </w:rPr>
        <w:t>12.5 mm/s</w:t>
      </w:r>
      <w:r>
        <w:rPr>
          <w:rFonts w:hint="eastAsia" w:ascii="宋体" w:hAnsi="宋体"/>
          <w:color w:val="000000"/>
          <w:sz w:val="24"/>
        </w:rPr>
        <w:t>、</w:t>
      </w:r>
      <w:r>
        <w:rPr>
          <w:rFonts w:ascii="宋体" w:hAnsi="宋体"/>
          <w:color w:val="000000"/>
          <w:sz w:val="24"/>
        </w:rPr>
        <w:t>25 mm/s</w:t>
      </w:r>
      <w:r>
        <w:rPr>
          <w:rFonts w:hint="eastAsia" w:ascii="宋体" w:hAnsi="宋体"/>
          <w:color w:val="000000"/>
          <w:sz w:val="24"/>
        </w:rPr>
        <w:t>和</w:t>
      </w:r>
      <w:r>
        <w:rPr>
          <w:rFonts w:ascii="宋体" w:hAnsi="宋体"/>
          <w:color w:val="000000"/>
          <w:sz w:val="24"/>
        </w:rPr>
        <w:t>50 mm/s</w:t>
      </w:r>
      <w:r>
        <w:rPr>
          <w:rFonts w:hint="eastAsia" w:ascii="宋体" w:hAnsi="宋体"/>
          <w:color w:val="000000"/>
          <w:sz w:val="24"/>
        </w:rPr>
        <w:t>。</w:t>
      </w:r>
    </w:p>
    <w:p>
      <w:pPr>
        <w:pStyle w:val="54"/>
        <w:numPr>
          <w:ilvl w:val="1"/>
          <w:numId w:val="1"/>
        </w:numPr>
        <w:autoSpaceDE w:val="0"/>
        <w:autoSpaceDN w:val="0"/>
        <w:adjustRightInd w:val="0"/>
        <w:spacing w:line="360" w:lineRule="auto"/>
        <w:ind w:firstLineChars="0"/>
        <w:jc w:val="left"/>
        <w:rPr>
          <w:rFonts w:ascii="宋体" w:hAnsi="宋体"/>
          <w:color w:val="000000"/>
          <w:sz w:val="24"/>
        </w:rPr>
      </w:pPr>
      <w:r>
        <w:rPr>
          <w:rFonts w:hint="eastAsia" w:ascii="宋体" w:hAnsi="宋体"/>
          <w:color w:val="000000"/>
          <w:sz w:val="24"/>
        </w:rPr>
        <w:t>提供窗口支持心脏下壁，侧壁和前壁对应多个ST片段的同屏实时显示，提供参考片段和实时片段的对比查看。</w:t>
      </w:r>
    </w:p>
    <w:p>
      <w:pPr>
        <w:pStyle w:val="54"/>
        <w:numPr>
          <w:ilvl w:val="1"/>
          <w:numId w:val="1"/>
        </w:numPr>
        <w:autoSpaceDE w:val="0"/>
        <w:autoSpaceDN w:val="0"/>
        <w:adjustRightInd w:val="0"/>
        <w:spacing w:line="360" w:lineRule="auto"/>
        <w:ind w:firstLineChars="0"/>
        <w:jc w:val="left"/>
        <w:rPr>
          <w:rFonts w:ascii="宋体" w:hAnsi="宋体"/>
          <w:color w:val="000000"/>
          <w:sz w:val="24"/>
        </w:rPr>
      </w:pPr>
      <w:r>
        <w:rPr>
          <w:rFonts w:hint="eastAsia" w:ascii="宋体" w:hAnsi="宋体"/>
          <w:color w:val="000000"/>
          <w:sz w:val="24"/>
        </w:rPr>
        <w:t>支持≥2</w:t>
      </w:r>
      <w:r>
        <w:rPr>
          <w:rFonts w:ascii="宋体" w:hAnsi="宋体"/>
          <w:color w:val="000000"/>
          <w:sz w:val="24"/>
        </w:rPr>
        <w:t>5</w:t>
      </w:r>
      <w:r>
        <w:rPr>
          <w:rFonts w:hint="eastAsia" w:ascii="宋体" w:hAnsi="宋体"/>
          <w:color w:val="000000"/>
          <w:sz w:val="24"/>
        </w:rPr>
        <w:t>种心律失常分析,包括房颤分析。QT和QTc实时监测参数测量范围：</w:t>
      </w:r>
      <w:r>
        <w:rPr>
          <w:rFonts w:ascii="宋体" w:hAnsi="宋体"/>
          <w:color w:val="000000"/>
          <w:sz w:val="24"/>
        </w:rPr>
        <w:t>200</w:t>
      </w:r>
      <w:r>
        <w:rPr>
          <w:rFonts w:hint="eastAsia" w:ascii="宋体" w:hAnsi="宋体"/>
          <w:color w:val="000000"/>
          <w:sz w:val="24"/>
        </w:rPr>
        <w:t>～</w:t>
      </w:r>
      <w:r>
        <w:rPr>
          <w:rFonts w:ascii="宋体" w:hAnsi="宋体"/>
          <w:color w:val="000000"/>
          <w:sz w:val="24"/>
        </w:rPr>
        <w:t>800 ms</w:t>
      </w:r>
      <w:r>
        <w:rPr>
          <w:rFonts w:hint="eastAsia" w:ascii="宋体" w:hAnsi="宋体"/>
          <w:color w:val="000000"/>
          <w:sz w:val="24"/>
        </w:rPr>
        <w:t>。支持心电多导同步分析。</w:t>
      </w:r>
    </w:p>
    <w:p>
      <w:pPr>
        <w:pStyle w:val="54"/>
        <w:numPr>
          <w:ilvl w:val="1"/>
          <w:numId w:val="1"/>
        </w:numPr>
        <w:autoSpaceDE w:val="0"/>
        <w:autoSpaceDN w:val="0"/>
        <w:adjustRightInd w:val="0"/>
        <w:spacing w:line="360" w:lineRule="auto"/>
        <w:ind w:firstLineChars="0"/>
        <w:jc w:val="left"/>
        <w:rPr>
          <w:rFonts w:ascii="宋体" w:hAnsi="宋体"/>
          <w:color w:val="000000"/>
          <w:sz w:val="24"/>
        </w:rPr>
      </w:pPr>
      <w:r>
        <w:rPr>
          <w:rFonts w:hint="eastAsia" w:ascii="宋体" w:hAnsi="宋体"/>
          <w:color w:val="000000"/>
          <w:sz w:val="24"/>
        </w:rPr>
        <w:t>支持升级提供过去24小时心电概览报告查看与打印，包括心率统计结果，心律失常统计结果，ST统计和QT/QTc统计结果。</w:t>
      </w:r>
    </w:p>
    <w:p>
      <w:pPr>
        <w:pStyle w:val="54"/>
        <w:numPr>
          <w:ilvl w:val="1"/>
          <w:numId w:val="1"/>
        </w:numPr>
        <w:autoSpaceDE w:val="0"/>
        <w:autoSpaceDN w:val="0"/>
        <w:adjustRightInd w:val="0"/>
        <w:spacing w:line="360" w:lineRule="auto"/>
        <w:ind w:firstLineChars="0"/>
        <w:jc w:val="left"/>
        <w:rPr>
          <w:rFonts w:ascii="宋体" w:hAnsi="宋体"/>
          <w:color w:val="000000"/>
          <w:sz w:val="24"/>
        </w:rPr>
      </w:pPr>
      <w:r>
        <w:rPr>
          <w:rFonts w:hint="eastAsia" w:ascii="宋体" w:hAnsi="宋体"/>
          <w:color w:val="000000"/>
          <w:sz w:val="24"/>
        </w:rPr>
        <w:t>提供SpO2,PR和PI参数的实时监测，适用于成人，小儿和新生儿。来自SpO2的PR测量范围：20-300。</w:t>
      </w:r>
    </w:p>
    <w:p>
      <w:pPr>
        <w:pStyle w:val="54"/>
        <w:numPr>
          <w:ilvl w:val="1"/>
          <w:numId w:val="1"/>
        </w:numPr>
        <w:autoSpaceDE w:val="0"/>
        <w:autoSpaceDN w:val="0"/>
        <w:adjustRightInd w:val="0"/>
        <w:spacing w:line="360" w:lineRule="auto"/>
        <w:ind w:firstLineChars="0"/>
        <w:jc w:val="left"/>
        <w:rPr>
          <w:rFonts w:ascii="宋体" w:hAnsi="宋体"/>
          <w:color w:val="000000"/>
          <w:sz w:val="24"/>
        </w:rPr>
      </w:pPr>
      <w:r>
        <w:rPr>
          <w:rFonts w:hint="eastAsia" w:ascii="宋体" w:hAnsi="宋体"/>
          <w:color w:val="000000"/>
          <w:sz w:val="24"/>
        </w:rPr>
        <w:t>▲配置指套式血氧探头，IPX7防水等级，支持液体浸泡消毒和清洁。</w:t>
      </w:r>
    </w:p>
    <w:p>
      <w:pPr>
        <w:pStyle w:val="54"/>
        <w:numPr>
          <w:ilvl w:val="1"/>
          <w:numId w:val="1"/>
        </w:numPr>
        <w:autoSpaceDE w:val="0"/>
        <w:autoSpaceDN w:val="0"/>
        <w:adjustRightInd w:val="0"/>
        <w:spacing w:line="360" w:lineRule="auto"/>
        <w:ind w:firstLineChars="0"/>
        <w:jc w:val="left"/>
        <w:rPr>
          <w:rFonts w:ascii="宋体" w:hAnsi="宋体"/>
          <w:color w:val="000000"/>
          <w:sz w:val="24"/>
        </w:rPr>
      </w:pPr>
      <w:r>
        <w:rPr>
          <w:rFonts w:hint="eastAsia" w:ascii="宋体" w:hAnsi="宋体"/>
          <w:color w:val="000000"/>
          <w:sz w:val="24"/>
        </w:rPr>
        <w:t>具备手动，自动，连续、序列和整点测量模式，提供24小</w:t>
      </w:r>
      <w:r>
        <w:rPr>
          <w:rFonts w:ascii="宋体" w:hAnsi="宋体"/>
          <w:color w:val="000000"/>
          <w:sz w:val="24"/>
        </w:rPr>
        <w:t>时血压统计结果</w:t>
      </w:r>
      <w:r>
        <w:rPr>
          <w:rFonts w:hint="eastAsia" w:ascii="宋体" w:hAnsi="宋体"/>
          <w:color w:val="000000"/>
          <w:sz w:val="24"/>
        </w:rPr>
        <w:t>。</w:t>
      </w:r>
    </w:p>
    <w:p>
      <w:pPr>
        <w:pStyle w:val="54"/>
        <w:numPr>
          <w:ilvl w:val="1"/>
          <w:numId w:val="1"/>
        </w:numPr>
        <w:autoSpaceDE w:val="0"/>
        <w:autoSpaceDN w:val="0"/>
        <w:adjustRightInd w:val="0"/>
        <w:spacing w:line="360" w:lineRule="auto"/>
        <w:ind w:firstLineChars="0"/>
        <w:jc w:val="left"/>
        <w:rPr>
          <w:rFonts w:ascii="宋体" w:hAnsi="宋体"/>
          <w:color w:val="000000"/>
          <w:sz w:val="24"/>
        </w:rPr>
      </w:pPr>
      <w:r>
        <w:rPr>
          <w:rFonts w:hint="eastAsia" w:ascii="宋体" w:hAnsi="宋体"/>
          <w:color w:val="000000"/>
          <w:sz w:val="24"/>
        </w:rPr>
        <w:t>提供呼吸测量，适用于成人、小儿和新生儿。呼吸测量范围：0-200 rpm。</w:t>
      </w:r>
    </w:p>
    <w:p>
      <w:pPr>
        <w:pStyle w:val="54"/>
        <w:numPr>
          <w:ilvl w:val="1"/>
          <w:numId w:val="1"/>
        </w:numPr>
        <w:autoSpaceDE w:val="0"/>
        <w:autoSpaceDN w:val="0"/>
        <w:adjustRightInd w:val="0"/>
        <w:spacing w:line="360" w:lineRule="auto"/>
        <w:ind w:firstLineChars="0"/>
        <w:jc w:val="left"/>
        <w:rPr>
          <w:rFonts w:ascii="宋体" w:hAnsi="宋体"/>
          <w:color w:val="000000"/>
          <w:sz w:val="24"/>
        </w:rPr>
      </w:pPr>
      <w:r>
        <w:rPr>
          <w:rFonts w:hint="eastAsia" w:ascii="宋体" w:hAnsi="宋体"/>
          <w:color w:val="000000"/>
          <w:sz w:val="24"/>
        </w:rPr>
        <w:t>配置无创血压测量，适用于成人，小儿和新生儿。无创血压成人测量范围：收缩压30~290mmH。</w:t>
      </w:r>
    </w:p>
    <w:p>
      <w:pPr>
        <w:pStyle w:val="54"/>
        <w:numPr>
          <w:ilvl w:val="1"/>
          <w:numId w:val="1"/>
        </w:numPr>
        <w:autoSpaceDE w:val="0"/>
        <w:autoSpaceDN w:val="0"/>
        <w:adjustRightInd w:val="0"/>
        <w:spacing w:line="360" w:lineRule="auto"/>
        <w:ind w:firstLineChars="0"/>
        <w:jc w:val="left"/>
        <w:rPr>
          <w:rFonts w:ascii="宋体" w:hAnsi="宋体"/>
          <w:color w:val="000000"/>
          <w:sz w:val="24"/>
        </w:rPr>
      </w:pPr>
      <w:r>
        <w:rPr>
          <w:rFonts w:hint="eastAsia" w:ascii="宋体" w:hAnsi="宋体"/>
          <w:color w:val="000000"/>
          <w:sz w:val="24"/>
        </w:rPr>
        <w:t>提供双通道体温和温差参数的监测,</w:t>
      </w:r>
      <w:r>
        <w:rPr>
          <w:rFonts w:ascii="宋体" w:hAnsi="宋体"/>
          <w:color w:val="000000"/>
          <w:sz w:val="24"/>
        </w:rPr>
        <w:t xml:space="preserve"> 并可更改体温通道标名</w:t>
      </w:r>
      <w:r>
        <w:rPr>
          <w:rFonts w:hint="eastAsia" w:ascii="宋体" w:hAnsi="宋体"/>
          <w:color w:val="000000"/>
          <w:sz w:val="24"/>
        </w:rPr>
        <w:t>。</w:t>
      </w:r>
    </w:p>
    <w:p>
      <w:pPr>
        <w:pStyle w:val="54"/>
        <w:numPr>
          <w:ilvl w:val="0"/>
          <w:numId w:val="1"/>
        </w:numPr>
        <w:autoSpaceDE w:val="0"/>
        <w:autoSpaceDN w:val="0"/>
        <w:adjustRightInd w:val="0"/>
        <w:spacing w:line="360" w:lineRule="auto"/>
        <w:ind w:left="284" w:firstLineChars="0"/>
        <w:jc w:val="left"/>
        <w:rPr>
          <w:rFonts w:ascii="宋体" w:hAnsi="宋体" w:cs="宋体"/>
          <w:b/>
          <w:color w:val="000000"/>
          <w:kern w:val="0"/>
          <w:sz w:val="24"/>
        </w:rPr>
      </w:pPr>
      <w:r>
        <w:rPr>
          <w:rFonts w:hint="eastAsia" w:ascii="宋体" w:hAnsi="宋体" w:cs="宋体"/>
          <w:b/>
          <w:color w:val="000000"/>
          <w:kern w:val="0"/>
          <w:sz w:val="24"/>
          <w:lang w:eastAsia="zh-CN"/>
        </w:rPr>
        <w:t>、</w:t>
      </w:r>
      <w:r>
        <w:rPr>
          <w:rFonts w:hint="eastAsia" w:ascii="宋体" w:hAnsi="宋体" w:cs="宋体"/>
          <w:b/>
          <w:color w:val="000000"/>
          <w:kern w:val="0"/>
          <w:sz w:val="24"/>
        </w:rPr>
        <w:t>系统功能：</w:t>
      </w:r>
    </w:p>
    <w:p>
      <w:pPr>
        <w:pStyle w:val="54"/>
        <w:numPr>
          <w:ilvl w:val="1"/>
          <w:numId w:val="1"/>
        </w:numPr>
        <w:autoSpaceDE w:val="0"/>
        <w:autoSpaceDN w:val="0"/>
        <w:adjustRightInd w:val="0"/>
        <w:spacing w:line="360" w:lineRule="auto"/>
        <w:ind w:firstLineChars="0"/>
        <w:jc w:val="left"/>
        <w:rPr>
          <w:rFonts w:ascii="宋体" w:hAnsi="宋体"/>
          <w:color w:val="000000"/>
          <w:sz w:val="24"/>
        </w:rPr>
      </w:pPr>
      <w:r>
        <w:rPr>
          <w:rFonts w:hint="eastAsia" w:ascii="宋体" w:hAnsi="宋体"/>
          <w:color w:val="000000"/>
          <w:sz w:val="24"/>
        </w:rPr>
        <w:t>支持所有监测参数报警限一键自动设置功能，满足医护团队快速管理患者报警需求，产品用户手册提供报警限自动设置规则。</w:t>
      </w:r>
    </w:p>
    <w:p>
      <w:pPr>
        <w:pStyle w:val="54"/>
        <w:numPr>
          <w:ilvl w:val="1"/>
          <w:numId w:val="1"/>
        </w:numPr>
        <w:autoSpaceDE w:val="0"/>
        <w:autoSpaceDN w:val="0"/>
        <w:adjustRightInd w:val="0"/>
        <w:spacing w:line="360" w:lineRule="auto"/>
        <w:ind w:firstLineChars="0"/>
        <w:jc w:val="left"/>
        <w:rPr>
          <w:rFonts w:ascii="宋体" w:hAnsi="宋体"/>
          <w:color w:val="000000"/>
          <w:sz w:val="24"/>
        </w:rPr>
      </w:pPr>
      <w:r>
        <w:rPr>
          <w:rFonts w:hint="eastAsia" w:ascii="宋体" w:hAnsi="宋体"/>
          <w:color w:val="000000"/>
          <w:sz w:val="24"/>
        </w:rPr>
        <w:t>▲</w:t>
      </w:r>
      <w:r>
        <w:rPr>
          <w:rFonts w:ascii="宋体" w:hAnsi="宋体"/>
          <w:color w:val="000000"/>
          <w:sz w:val="24"/>
        </w:rPr>
        <w:t>具有图形化</w:t>
      </w:r>
      <w:r>
        <w:rPr>
          <w:rFonts w:hint="eastAsia" w:ascii="宋体" w:hAnsi="宋体"/>
          <w:color w:val="000000"/>
          <w:sz w:val="24"/>
        </w:rPr>
        <w:t>技术</w:t>
      </w:r>
      <w:r>
        <w:rPr>
          <w:rFonts w:ascii="宋体" w:hAnsi="宋体"/>
          <w:color w:val="000000"/>
          <w:sz w:val="24"/>
        </w:rPr>
        <w:t>报警指示功能</w:t>
      </w:r>
      <w:r>
        <w:rPr>
          <w:rFonts w:hint="eastAsia" w:ascii="宋体" w:hAnsi="宋体"/>
          <w:color w:val="000000"/>
          <w:sz w:val="24"/>
        </w:rPr>
        <w:t>。</w:t>
      </w:r>
    </w:p>
    <w:p>
      <w:pPr>
        <w:pStyle w:val="54"/>
        <w:numPr>
          <w:ilvl w:val="1"/>
          <w:numId w:val="1"/>
        </w:numPr>
        <w:autoSpaceDE w:val="0"/>
        <w:autoSpaceDN w:val="0"/>
        <w:adjustRightInd w:val="0"/>
        <w:spacing w:line="360" w:lineRule="auto"/>
        <w:ind w:firstLineChars="0"/>
        <w:jc w:val="left"/>
        <w:rPr>
          <w:rFonts w:ascii="宋体" w:hAnsi="宋体"/>
          <w:color w:val="000000"/>
          <w:sz w:val="24"/>
        </w:rPr>
      </w:pPr>
      <w:r>
        <w:rPr>
          <w:rFonts w:hint="eastAsia" w:ascii="宋体" w:hAnsi="宋体"/>
          <w:color w:val="000000"/>
          <w:sz w:val="24"/>
        </w:rPr>
        <w:t>支持≥1</w:t>
      </w:r>
      <w:r>
        <w:rPr>
          <w:rFonts w:ascii="宋体" w:hAnsi="宋体"/>
          <w:color w:val="000000"/>
          <w:sz w:val="24"/>
        </w:rPr>
        <w:t>000</w:t>
      </w:r>
      <w:r>
        <w:rPr>
          <w:rFonts w:hint="eastAsia" w:ascii="宋体" w:hAnsi="宋体"/>
          <w:color w:val="000000"/>
          <w:sz w:val="24"/>
        </w:rPr>
        <w:t>条</w:t>
      </w:r>
      <w:r>
        <w:rPr>
          <w:rFonts w:ascii="宋体" w:hAnsi="宋体"/>
          <w:color w:val="000000"/>
          <w:sz w:val="24"/>
        </w:rPr>
        <w:t>事件回顾。每条报警事件能够存储</w:t>
      </w:r>
      <w:r>
        <w:rPr>
          <w:rFonts w:hint="eastAsia" w:ascii="宋体" w:hAnsi="宋体"/>
          <w:color w:val="000000"/>
          <w:sz w:val="24"/>
        </w:rPr>
        <w:t>≥</w:t>
      </w:r>
      <w:r>
        <w:rPr>
          <w:rFonts w:ascii="宋体" w:hAnsi="宋体"/>
          <w:color w:val="000000"/>
          <w:sz w:val="24"/>
        </w:rPr>
        <w:t>30</w:t>
      </w:r>
      <w:r>
        <w:rPr>
          <w:rFonts w:hint="eastAsia" w:ascii="宋体" w:hAnsi="宋体"/>
          <w:color w:val="000000"/>
          <w:sz w:val="24"/>
        </w:rPr>
        <w:t>秒三道相关波形，以及报警触发时所有测量参数值。支持≥120小时（分辨率</w:t>
      </w:r>
      <w:r>
        <w:rPr>
          <w:rFonts w:ascii="宋体" w:hAnsi="宋体"/>
          <w:color w:val="000000"/>
          <w:sz w:val="24"/>
        </w:rPr>
        <w:t>1</w:t>
      </w:r>
      <w:r>
        <w:rPr>
          <w:rFonts w:hint="eastAsia" w:ascii="宋体" w:hAnsi="宋体"/>
          <w:color w:val="000000"/>
          <w:sz w:val="24"/>
        </w:rPr>
        <w:t>分钟）ST模板存储与回顾。支持监护仪历史病人数据的存储和回顾，并支持通过USB接口将历史病人数据导出到U盘，也可以通过USB接口截图监护仪显示信息图片。</w:t>
      </w:r>
    </w:p>
    <w:p>
      <w:pPr>
        <w:pStyle w:val="54"/>
        <w:numPr>
          <w:ilvl w:val="1"/>
          <w:numId w:val="1"/>
        </w:numPr>
        <w:autoSpaceDE w:val="0"/>
        <w:autoSpaceDN w:val="0"/>
        <w:adjustRightInd w:val="0"/>
        <w:spacing w:line="360" w:lineRule="auto"/>
        <w:ind w:firstLineChars="0"/>
        <w:jc w:val="left"/>
        <w:rPr>
          <w:rFonts w:ascii="宋体" w:hAnsi="宋体"/>
          <w:color w:val="000000"/>
          <w:sz w:val="24"/>
        </w:rPr>
      </w:pPr>
      <w:r>
        <w:rPr>
          <w:rFonts w:hint="eastAsia" w:ascii="宋体" w:hAnsi="宋体"/>
          <w:color w:val="000000"/>
          <w:sz w:val="24"/>
        </w:rPr>
        <w:t>▲支持RJ45接口进行有线网络通信，和同品牌除颤监护仪一起联网通信到中心监护系统。</w:t>
      </w:r>
    </w:p>
    <w:p>
      <w:pPr>
        <w:pStyle w:val="54"/>
        <w:numPr>
          <w:ilvl w:val="1"/>
          <w:numId w:val="1"/>
        </w:numPr>
        <w:autoSpaceDE w:val="0"/>
        <w:autoSpaceDN w:val="0"/>
        <w:adjustRightInd w:val="0"/>
        <w:spacing w:line="360" w:lineRule="auto"/>
        <w:ind w:firstLineChars="0"/>
        <w:jc w:val="left"/>
        <w:rPr>
          <w:rFonts w:ascii="宋体" w:hAnsi="宋体"/>
          <w:color w:val="000000"/>
          <w:sz w:val="24"/>
        </w:rPr>
      </w:pPr>
      <w:r>
        <w:rPr>
          <w:rFonts w:hint="eastAsia" w:ascii="宋体" w:hAnsi="宋体"/>
          <w:color w:val="000000"/>
          <w:sz w:val="24"/>
        </w:rPr>
        <w:t>支持监护仪进入夜间模式，演示模式和待机模式，可选隐私模式。</w:t>
      </w:r>
      <w:r>
        <w:rPr>
          <w:rFonts w:ascii="宋体" w:hAnsi="宋体"/>
          <w:color w:val="000000"/>
          <w:sz w:val="24"/>
        </w:rPr>
        <w:t xml:space="preserve"> </w:t>
      </w:r>
      <w:r>
        <w:rPr>
          <w:rFonts w:hint="eastAsia" w:ascii="宋体" w:hAnsi="宋体"/>
          <w:color w:val="000000"/>
          <w:sz w:val="24"/>
        </w:rPr>
        <w:t>提供计时器功能，界面区提供设置≥4个计时器，每个计时器支持独立设置和计时功能，计时方向包括正计时和倒计时两种选择。</w:t>
      </w:r>
      <w:r>
        <w:rPr>
          <w:rFonts w:ascii="宋体" w:hAnsi="宋体"/>
          <w:color w:val="000000"/>
          <w:sz w:val="24"/>
        </w:rPr>
        <w:t xml:space="preserve"> </w:t>
      </w:r>
    </w:p>
    <w:p>
      <w:pPr>
        <w:pStyle w:val="54"/>
        <w:numPr>
          <w:ilvl w:val="1"/>
          <w:numId w:val="1"/>
        </w:numPr>
        <w:autoSpaceDE w:val="0"/>
        <w:autoSpaceDN w:val="0"/>
        <w:adjustRightInd w:val="0"/>
        <w:spacing w:line="360" w:lineRule="auto"/>
        <w:ind w:firstLineChars="0"/>
        <w:jc w:val="left"/>
        <w:rPr>
          <w:rFonts w:ascii="宋体" w:hAnsi="宋体"/>
          <w:color w:val="000000"/>
          <w:sz w:val="24"/>
        </w:rPr>
      </w:pPr>
      <w:r>
        <w:rPr>
          <w:rFonts w:hint="eastAsia" w:ascii="宋体" w:hAnsi="宋体"/>
          <w:color w:val="000000"/>
          <w:sz w:val="24"/>
        </w:rPr>
        <w:t>▲可升级临床评分系统，包括MEWS（改良早期预警评分）、NEWS（英国早期预警评分系统）、NEWS2（英国早期预警评分系统2），可支持定时自动EWS评分功能，支持动态刷新EWS和EWS报警。支持格拉斯哥昏迷评分（GCS）功能</w:t>
      </w:r>
    </w:p>
    <w:p>
      <w:pPr>
        <w:pStyle w:val="54"/>
        <w:numPr>
          <w:ilvl w:val="1"/>
          <w:numId w:val="1"/>
        </w:numPr>
        <w:autoSpaceDE w:val="0"/>
        <w:autoSpaceDN w:val="0"/>
        <w:adjustRightInd w:val="0"/>
        <w:spacing w:line="360" w:lineRule="auto"/>
        <w:ind w:firstLineChars="0"/>
        <w:jc w:val="left"/>
        <w:rPr>
          <w:rFonts w:ascii="宋体" w:hAnsi="宋体"/>
          <w:color w:val="000000"/>
          <w:sz w:val="24"/>
        </w:rPr>
      </w:pPr>
      <w:r>
        <w:rPr>
          <w:rFonts w:hint="eastAsia" w:ascii="宋体" w:hAnsi="宋体"/>
          <w:color w:val="000000"/>
          <w:sz w:val="24"/>
        </w:rPr>
        <w:t>▲动态</w:t>
      </w:r>
      <w:r>
        <w:rPr>
          <w:rFonts w:ascii="宋体" w:hAnsi="宋体"/>
          <w:color w:val="000000"/>
          <w:sz w:val="24"/>
        </w:rPr>
        <w:t>趋势界面可支持统计</w:t>
      </w:r>
      <w:r>
        <w:rPr>
          <w:rFonts w:hint="eastAsia" w:ascii="宋体" w:hAnsi="宋体"/>
          <w:color w:val="000000"/>
          <w:sz w:val="24"/>
        </w:rPr>
        <w:t>1-24小</w:t>
      </w:r>
      <w:r>
        <w:rPr>
          <w:rFonts w:ascii="宋体" w:hAnsi="宋体"/>
          <w:color w:val="000000"/>
          <w:sz w:val="24"/>
        </w:rPr>
        <w:t>时</w:t>
      </w:r>
      <w:r>
        <w:rPr>
          <w:rFonts w:hint="eastAsia" w:ascii="宋体" w:hAnsi="宋体"/>
          <w:color w:val="000000"/>
          <w:sz w:val="24"/>
        </w:rPr>
        <w:t>心</w:t>
      </w:r>
      <w:r>
        <w:rPr>
          <w:rFonts w:ascii="宋体" w:hAnsi="宋体"/>
          <w:color w:val="000000"/>
          <w:sz w:val="24"/>
        </w:rPr>
        <w:t>律失常报警、参数超限报警信息，并对</w:t>
      </w:r>
      <w:r>
        <w:rPr>
          <w:rFonts w:hint="eastAsia" w:ascii="宋体" w:hAnsi="宋体"/>
          <w:color w:val="000000"/>
          <w:sz w:val="24"/>
        </w:rPr>
        <w:t>超</w:t>
      </w:r>
      <w:r>
        <w:rPr>
          <w:rFonts w:ascii="宋体" w:hAnsi="宋体"/>
          <w:color w:val="000000"/>
          <w:sz w:val="24"/>
        </w:rPr>
        <w:t>限报警区间的波形进行高亮显示，</w:t>
      </w:r>
      <w:r>
        <w:rPr>
          <w:rFonts w:hint="eastAsia" w:ascii="宋体" w:hAnsi="宋体"/>
          <w:color w:val="000000"/>
          <w:sz w:val="24"/>
        </w:rPr>
        <w:t>帮助</w:t>
      </w:r>
      <w:r>
        <w:rPr>
          <w:rFonts w:ascii="宋体" w:hAnsi="宋体"/>
          <w:color w:val="000000"/>
          <w:sz w:val="24"/>
        </w:rPr>
        <w:t>医护人员快速识别异常</w:t>
      </w:r>
      <w:r>
        <w:rPr>
          <w:rFonts w:hint="eastAsia" w:ascii="宋体" w:hAnsi="宋体"/>
          <w:color w:val="000000"/>
          <w:sz w:val="24"/>
        </w:rPr>
        <w:t>趋势</w:t>
      </w:r>
      <w:r>
        <w:rPr>
          <w:rFonts w:ascii="宋体" w:hAnsi="宋体"/>
          <w:color w:val="000000"/>
          <w:sz w:val="24"/>
        </w:rPr>
        <w:t>信息。</w:t>
      </w:r>
    </w:p>
    <w:p>
      <w:pPr>
        <w:pStyle w:val="54"/>
        <w:numPr>
          <w:ilvl w:val="1"/>
          <w:numId w:val="1"/>
        </w:numPr>
        <w:autoSpaceDE w:val="0"/>
        <w:autoSpaceDN w:val="0"/>
        <w:adjustRightInd w:val="0"/>
        <w:spacing w:line="360" w:lineRule="auto"/>
        <w:ind w:firstLineChars="0"/>
        <w:jc w:val="left"/>
        <w:rPr>
          <w:rFonts w:ascii="宋体" w:hAnsi="宋体"/>
          <w:color w:val="000000"/>
          <w:sz w:val="24"/>
        </w:rPr>
      </w:pPr>
      <w:r>
        <w:rPr>
          <w:rFonts w:hint="eastAsia" w:ascii="宋体" w:hAnsi="宋体"/>
          <w:color w:val="000000"/>
          <w:sz w:val="24"/>
        </w:rPr>
        <w:t>提供目标监测界面，能够显示ECG,SpO2,IBP,CO2等多种参数测量值和波形；目标监测界面至少包括目标参数区、参数列表区、目标参数统计区、目标参数趋势区等，目标参数统计区与目标参数趋势区相互联动。</w:t>
      </w:r>
    </w:p>
    <w:p>
      <w:pPr>
        <w:pStyle w:val="54"/>
        <w:numPr>
          <w:ilvl w:val="1"/>
          <w:numId w:val="1"/>
        </w:numPr>
        <w:autoSpaceDE w:val="0"/>
        <w:autoSpaceDN w:val="0"/>
        <w:adjustRightInd w:val="0"/>
        <w:spacing w:line="360" w:lineRule="auto"/>
        <w:ind w:firstLineChars="0"/>
        <w:jc w:val="left"/>
        <w:rPr>
          <w:rFonts w:ascii="宋体" w:hAnsi="宋体"/>
          <w:color w:val="000000"/>
          <w:sz w:val="24"/>
        </w:rPr>
      </w:pPr>
      <w:r>
        <w:rPr>
          <w:rFonts w:hint="eastAsia" w:ascii="宋体" w:hAnsi="宋体"/>
          <w:color w:val="000000"/>
          <w:sz w:val="24"/>
        </w:rPr>
        <w:t>心电、血氧、血压附件兼容同品牌其他所有在线系列监护仪，支持它床观察，可同时监视≥12它床的报警信息。</w:t>
      </w:r>
    </w:p>
    <w:p>
      <w:pPr>
        <w:pStyle w:val="2"/>
        <w:spacing w:before="0" w:after="0" w:line="276" w:lineRule="auto"/>
        <w:jc w:val="center"/>
        <w:rPr>
          <w:rFonts w:hint="eastAsia" w:ascii="宋体" w:hAnsi="宋体"/>
          <w:sz w:val="28"/>
        </w:rPr>
      </w:pPr>
    </w:p>
    <w:p>
      <w:pPr>
        <w:pStyle w:val="2"/>
        <w:spacing w:before="0" w:after="0" w:line="276" w:lineRule="auto"/>
        <w:jc w:val="center"/>
        <w:rPr>
          <w:rFonts w:hint="eastAsia" w:ascii="宋体" w:hAnsi="宋体" w:eastAsia="宋体"/>
          <w:sz w:val="28"/>
          <w:lang w:eastAsia="zh-CN"/>
        </w:rPr>
      </w:pPr>
      <w:r>
        <w:rPr>
          <w:rFonts w:hint="eastAsia" w:ascii="宋体" w:hAnsi="宋体"/>
          <w:sz w:val="28"/>
        </w:rPr>
        <w:t>监护仪配置清单</w:t>
      </w:r>
      <w:r>
        <w:rPr>
          <w:rFonts w:hint="eastAsia" w:ascii="宋体" w:hAnsi="宋体"/>
          <w:sz w:val="28"/>
          <w:lang w:eastAsia="zh-CN"/>
        </w:rPr>
        <w:t>（实质性要求）</w:t>
      </w:r>
    </w:p>
    <w:tbl>
      <w:tblPr>
        <w:tblStyle w:val="24"/>
        <w:tblW w:w="44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5804"/>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4" w:type="dxa"/>
            <w:noWrap w:val="0"/>
            <w:vAlign w:val="center"/>
          </w:tcPr>
          <w:p>
            <w:pPr>
              <w:spacing w:before="156" w:beforeLines="50" w:line="360" w:lineRule="exact"/>
              <w:ind w:firstLine="105" w:firstLineChars="50"/>
              <w:rPr>
                <w:rFonts w:ascii="宋体" w:hAnsi="宋体"/>
                <w:bCs/>
                <w:szCs w:val="21"/>
              </w:rPr>
            </w:pPr>
            <w:r>
              <w:rPr>
                <w:rFonts w:hint="eastAsia" w:ascii="宋体" w:hAnsi="宋体"/>
                <w:bCs/>
                <w:szCs w:val="21"/>
              </w:rPr>
              <w:t>序号</w:t>
            </w:r>
          </w:p>
        </w:tc>
        <w:tc>
          <w:tcPr>
            <w:tcW w:w="5803" w:type="dxa"/>
            <w:noWrap w:val="0"/>
            <w:vAlign w:val="center"/>
          </w:tcPr>
          <w:p>
            <w:pPr>
              <w:spacing w:before="156" w:beforeLines="50" w:line="360" w:lineRule="exact"/>
              <w:jc w:val="center"/>
              <w:rPr>
                <w:rFonts w:ascii="宋体" w:hAnsi="宋体"/>
                <w:bCs/>
                <w:szCs w:val="21"/>
              </w:rPr>
            </w:pPr>
            <w:r>
              <w:rPr>
                <w:rFonts w:hint="eastAsia" w:ascii="宋体" w:hAnsi="宋体"/>
                <w:bCs/>
                <w:szCs w:val="21"/>
              </w:rPr>
              <w:t>物料描述</w:t>
            </w:r>
          </w:p>
        </w:tc>
        <w:tc>
          <w:tcPr>
            <w:tcW w:w="887" w:type="dxa"/>
            <w:noWrap w:val="0"/>
            <w:vAlign w:val="center"/>
          </w:tcPr>
          <w:p>
            <w:pPr>
              <w:spacing w:before="156" w:beforeLines="50" w:line="360" w:lineRule="exact"/>
              <w:jc w:val="center"/>
              <w:rPr>
                <w:rFonts w:ascii="宋体" w:hAnsi="宋体"/>
                <w:bCs/>
                <w:szCs w:val="21"/>
              </w:rPr>
            </w:pPr>
            <w:r>
              <w:rPr>
                <w:rFonts w:hint="eastAsia" w:ascii="宋体" w:hAnsi="宋体"/>
                <w:bCs/>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4" w:type="dxa"/>
            <w:noWrap w:val="0"/>
            <w:vAlign w:val="center"/>
          </w:tcPr>
          <w:p>
            <w:pPr>
              <w:pStyle w:val="54"/>
              <w:numPr>
                <w:ilvl w:val="0"/>
                <w:numId w:val="2"/>
              </w:numPr>
              <w:spacing w:before="156" w:beforeLines="50" w:line="360" w:lineRule="exact"/>
              <w:ind w:firstLineChars="0"/>
              <w:jc w:val="center"/>
              <w:rPr>
                <w:rFonts w:ascii="宋体" w:hAnsi="宋体"/>
                <w:bCs/>
                <w:sz w:val="18"/>
                <w:szCs w:val="21"/>
              </w:rPr>
            </w:pPr>
          </w:p>
        </w:tc>
        <w:tc>
          <w:tcPr>
            <w:tcW w:w="5803" w:type="dxa"/>
            <w:noWrap w:val="0"/>
            <w:vAlign w:val="center"/>
          </w:tcPr>
          <w:p>
            <w:pPr>
              <w:spacing w:before="156" w:beforeLines="50"/>
              <w:rPr>
                <w:rFonts w:ascii="宋体" w:hAnsi="宋体" w:cs="宋体"/>
                <w:sz w:val="18"/>
                <w:szCs w:val="21"/>
              </w:rPr>
            </w:pPr>
            <w:r>
              <w:rPr>
                <w:rFonts w:hint="eastAsia" w:ascii="宋体" w:hAnsi="宋体"/>
                <w:sz w:val="18"/>
                <w:szCs w:val="21"/>
              </w:rPr>
              <w:t>主机</w:t>
            </w:r>
          </w:p>
        </w:tc>
        <w:tc>
          <w:tcPr>
            <w:tcW w:w="887" w:type="dxa"/>
            <w:noWrap w:val="0"/>
            <w:vAlign w:val="center"/>
          </w:tcPr>
          <w:p>
            <w:pPr>
              <w:spacing w:before="156" w:beforeLines="50"/>
              <w:jc w:val="center"/>
              <w:rPr>
                <w:rFonts w:ascii="宋体" w:hAnsi="宋体" w:cs="宋体"/>
                <w:sz w:val="18"/>
                <w:szCs w:val="21"/>
              </w:rPr>
            </w:pPr>
            <w:r>
              <w:rPr>
                <w:rFonts w:hint="eastAsia" w:ascii="宋体" w:hAnsi="宋体"/>
                <w:sz w:val="18"/>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4" w:type="dxa"/>
            <w:noWrap w:val="0"/>
            <w:vAlign w:val="center"/>
          </w:tcPr>
          <w:p>
            <w:pPr>
              <w:pStyle w:val="54"/>
              <w:numPr>
                <w:ilvl w:val="0"/>
                <w:numId w:val="2"/>
              </w:numPr>
              <w:spacing w:before="156" w:beforeLines="50" w:line="360" w:lineRule="exact"/>
              <w:ind w:firstLineChars="0"/>
              <w:jc w:val="center"/>
              <w:rPr>
                <w:rFonts w:ascii="宋体" w:hAnsi="宋体"/>
                <w:bCs/>
                <w:sz w:val="18"/>
                <w:szCs w:val="21"/>
              </w:rPr>
            </w:pPr>
          </w:p>
        </w:tc>
        <w:tc>
          <w:tcPr>
            <w:tcW w:w="5803" w:type="dxa"/>
            <w:noWrap w:val="0"/>
            <w:vAlign w:val="center"/>
          </w:tcPr>
          <w:p>
            <w:pPr>
              <w:spacing w:before="156" w:beforeLines="50"/>
              <w:rPr>
                <w:rFonts w:ascii="宋体" w:hAnsi="宋体"/>
                <w:sz w:val="18"/>
                <w:szCs w:val="21"/>
              </w:rPr>
            </w:pPr>
            <w:r>
              <w:rPr>
                <w:rFonts w:hint="eastAsia" w:ascii="宋体" w:hAnsi="宋体"/>
                <w:sz w:val="18"/>
                <w:szCs w:val="21"/>
              </w:rPr>
              <w:t>12针3/5导分体式主电缆 除颤型</w:t>
            </w:r>
          </w:p>
        </w:tc>
        <w:tc>
          <w:tcPr>
            <w:tcW w:w="887" w:type="dxa"/>
            <w:noWrap w:val="0"/>
            <w:vAlign w:val="center"/>
          </w:tcPr>
          <w:p>
            <w:pPr>
              <w:spacing w:before="156" w:beforeLines="50"/>
              <w:jc w:val="center"/>
              <w:rPr>
                <w:rFonts w:ascii="宋体" w:hAnsi="宋体"/>
                <w:sz w:val="18"/>
                <w:szCs w:val="21"/>
              </w:rPr>
            </w:pPr>
            <w:r>
              <w:rPr>
                <w:rFonts w:hint="eastAsia" w:ascii="宋体" w:hAnsi="宋体"/>
                <w:sz w:val="18"/>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4" w:type="dxa"/>
            <w:noWrap w:val="0"/>
            <w:vAlign w:val="center"/>
          </w:tcPr>
          <w:p>
            <w:pPr>
              <w:pStyle w:val="54"/>
              <w:numPr>
                <w:ilvl w:val="0"/>
                <w:numId w:val="2"/>
              </w:numPr>
              <w:spacing w:before="156" w:beforeLines="50" w:line="360" w:lineRule="exact"/>
              <w:ind w:firstLineChars="0"/>
              <w:jc w:val="center"/>
              <w:rPr>
                <w:rFonts w:ascii="宋体" w:hAnsi="宋体"/>
                <w:bCs/>
                <w:sz w:val="18"/>
                <w:szCs w:val="21"/>
              </w:rPr>
            </w:pPr>
          </w:p>
        </w:tc>
        <w:tc>
          <w:tcPr>
            <w:tcW w:w="5803" w:type="dxa"/>
            <w:noWrap w:val="0"/>
            <w:vAlign w:val="center"/>
          </w:tcPr>
          <w:p>
            <w:pPr>
              <w:spacing w:before="156" w:beforeLines="50"/>
              <w:rPr>
                <w:rFonts w:ascii="宋体" w:hAnsi="宋体"/>
                <w:sz w:val="18"/>
                <w:szCs w:val="21"/>
              </w:rPr>
            </w:pPr>
            <w:r>
              <w:rPr>
                <w:rFonts w:hint="eastAsia" w:ascii="宋体" w:hAnsi="宋体"/>
                <w:sz w:val="18"/>
                <w:szCs w:val="21"/>
              </w:rPr>
              <w:t>5导导联线</w:t>
            </w:r>
          </w:p>
        </w:tc>
        <w:tc>
          <w:tcPr>
            <w:tcW w:w="887" w:type="dxa"/>
            <w:noWrap w:val="0"/>
            <w:vAlign w:val="center"/>
          </w:tcPr>
          <w:p>
            <w:pPr>
              <w:spacing w:before="156" w:beforeLines="50"/>
              <w:jc w:val="center"/>
              <w:rPr>
                <w:rFonts w:ascii="宋体" w:hAnsi="宋体"/>
                <w:sz w:val="18"/>
                <w:szCs w:val="21"/>
              </w:rPr>
            </w:pPr>
            <w:r>
              <w:rPr>
                <w:rFonts w:hint="eastAsia" w:ascii="宋体" w:hAnsi="宋体"/>
                <w:sz w:val="18"/>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4" w:type="dxa"/>
            <w:noWrap w:val="0"/>
            <w:vAlign w:val="center"/>
          </w:tcPr>
          <w:p>
            <w:pPr>
              <w:pStyle w:val="54"/>
              <w:numPr>
                <w:ilvl w:val="0"/>
                <w:numId w:val="2"/>
              </w:numPr>
              <w:spacing w:before="156" w:beforeLines="50" w:line="360" w:lineRule="exact"/>
              <w:ind w:firstLineChars="0"/>
              <w:jc w:val="center"/>
              <w:rPr>
                <w:rFonts w:ascii="宋体" w:hAnsi="宋体"/>
                <w:bCs/>
                <w:sz w:val="18"/>
                <w:szCs w:val="21"/>
              </w:rPr>
            </w:pPr>
          </w:p>
        </w:tc>
        <w:tc>
          <w:tcPr>
            <w:tcW w:w="5803" w:type="dxa"/>
            <w:noWrap w:val="0"/>
            <w:vAlign w:val="center"/>
          </w:tcPr>
          <w:p>
            <w:pPr>
              <w:spacing w:before="156" w:beforeLines="50"/>
              <w:rPr>
                <w:rFonts w:ascii="宋体" w:hAnsi="宋体"/>
                <w:sz w:val="18"/>
                <w:szCs w:val="21"/>
              </w:rPr>
            </w:pPr>
            <w:r>
              <w:rPr>
                <w:rFonts w:hint="eastAsia" w:ascii="宋体" w:hAnsi="宋体"/>
                <w:sz w:val="18"/>
                <w:szCs w:val="21"/>
              </w:rPr>
              <w:t>心电电极</w:t>
            </w:r>
          </w:p>
        </w:tc>
        <w:tc>
          <w:tcPr>
            <w:tcW w:w="887" w:type="dxa"/>
            <w:noWrap w:val="0"/>
            <w:vAlign w:val="center"/>
          </w:tcPr>
          <w:p>
            <w:pPr>
              <w:spacing w:before="156" w:beforeLines="50"/>
              <w:jc w:val="center"/>
              <w:rPr>
                <w:rFonts w:ascii="宋体" w:hAnsi="宋体"/>
                <w:sz w:val="18"/>
                <w:szCs w:val="21"/>
              </w:rPr>
            </w:pPr>
            <w:r>
              <w:rPr>
                <w:rFonts w:hint="eastAsia" w:ascii="宋体" w:hAnsi="宋体"/>
                <w:sz w:val="18"/>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4" w:type="dxa"/>
            <w:noWrap w:val="0"/>
            <w:vAlign w:val="center"/>
          </w:tcPr>
          <w:p>
            <w:pPr>
              <w:pStyle w:val="54"/>
              <w:numPr>
                <w:ilvl w:val="0"/>
                <w:numId w:val="2"/>
              </w:numPr>
              <w:spacing w:before="156" w:beforeLines="50" w:line="360" w:lineRule="exact"/>
              <w:ind w:firstLineChars="0"/>
              <w:jc w:val="center"/>
              <w:rPr>
                <w:rFonts w:ascii="宋体" w:hAnsi="宋体"/>
                <w:bCs/>
                <w:sz w:val="18"/>
                <w:szCs w:val="21"/>
              </w:rPr>
            </w:pPr>
          </w:p>
        </w:tc>
        <w:tc>
          <w:tcPr>
            <w:tcW w:w="5803" w:type="dxa"/>
            <w:noWrap w:val="0"/>
            <w:vAlign w:val="center"/>
          </w:tcPr>
          <w:p>
            <w:pPr>
              <w:spacing w:before="156" w:beforeLines="50"/>
              <w:rPr>
                <w:rFonts w:ascii="宋体" w:hAnsi="宋体"/>
                <w:sz w:val="18"/>
                <w:szCs w:val="21"/>
              </w:rPr>
            </w:pPr>
            <w:r>
              <w:rPr>
                <w:rFonts w:hint="eastAsia" w:ascii="宋体" w:hAnsi="宋体"/>
                <w:sz w:val="18"/>
                <w:szCs w:val="21"/>
              </w:rPr>
              <w:t>血氧电缆</w:t>
            </w:r>
          </w:p>
        </w:tc>
        <w:tc>
          <w:tcPr>
            <w:tcW w:w="887" w:type="dxa"/>
            <w:noWrap w:val="0"/>
            <w:vAlign w:val="center"/>
          </w:tcPr>
          <w:p>
            <w:pPr>
              <w:spacing w:before="156" w:beforeLines="50"/>
              <w:jc w:val="center"/>
              <w:rPr>
                <w:rFonts w:ascii="宋体" w:hAnsi="宋体"/>
                <w:sz w:val="18"/>
                <w:szCs w:val="21"/>
              </w:rPr>
            </w:pPr>
            <w:r>
              <w:rPr>
                <w:rFonts w:hint="eastAsia" w:ascii="宋体" w:hAnsi="宋体"/>
                <w:sz w:val="18"/>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4" w:type="dxa"/>
            <w:noWrap w:val="0"/>
            <w:vAlign w:val="center"/>
          </w:tcPr>
          <w:p>
            <w:pPr>
              <w:pStyle w:val="54"/>
              <w:numPr>
                <w:ilvl w:val="0"/>
                <w:numId w:val="2"/>
              </w:numPr>
              <w:spacing w:before="156" w:beforeLines="50" w:line="360" w:lineRule="exact"/>
              <w:ind w:firstLineChars="0"/>
              <w:jc w:val="center"/>
              <w:rPr>
                <w:rFonts w:ascii="宋体" w:hAnsi="宋体"/>
                <w:bCs/>
                <w:sz w:val="18"/>
                <w:szCs w:val="21"/>
              </w:rPr>
            </w:pPr>
          </w:p>
        </w:tc>
        <w:tc>
          <w:tcPr>
            <w:tcW w:w="5803" w:type="dxa"/>
            <w:noWrap w:val="0"/>
            <w:vAlign w:val="center"/>
          </w:tcPr>
          <w:p>
            <w:pPr>
              <w:spacing w:before="156" w:beforeLines="50"/>
              <w:rPr>
                <w:rFonts w:ascii="宋体" w:hAnsi="宋体"/>
                <w:sz w:val="18"/>
                <w:szCs w:val="21"/>
              </w:rPr>
            </w:pPr>
            <w:r>
              <w:rPr>
                <w:rFonts w:hint="eastAsia" w:ascii="宋体" w:hAnsi="宋体"/>
                <w:sz w:val="18"/>
                <w:szCs w:val="21"/>
              </w:rPr>
              <w:t>血氧传感器</w:t>
            </w:r>
          </w:p>
        </w:tc>
        <w:tc>
          <w:tcPr>
            <w:tcW w:w="887" w:type="dxa"/>
            <w:noWrap w:val="0"/>
            <w:vAlign w:val="center"/>
          </w:tcPr>
          <w:p>
            <w:pPr>
              <w:spacing w:before="156" w:beforeLines="50"/>
              <w:jc w:val="center"/>
              <w:rPr>
                <w:rFonts w:ascii="宋体" w:hAnsi="宋体"/>
                <w:sz w:val="18"/>
                <w:szCs w:val="21"/>
              </w:rPr>
            </w:pPr>
            <w:r>
              <w:rPr>
                <w:rFonts w:hint="eastAsia" w:ascii="宋体" w:hAnsi="宋体"/>
                <w:sz w:val="18"/>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4" w:type="dxa"/>
            <w:noWrap w:val="0"/>
            <w:vAlign w:val="center"/>
          </w:tcPr>
          <w:p>
            <w:pPr>
              <w:pStyle w:val="54"/>
              <w:numPr>
                <w:ilvl w:val="0"/>
                <w:numId w:val="2"/>
              </w:numPr>
              <w:spacing w:before="156" w:beforeLines="50" w:line="360" w:lineRule="exact"/>
              <w:ind w:firstLineChars="0"/>
              <w:jc w:val="center"/>
              <w:rPr>
                <w:rFonts w:ascii="宋体" w:hAnsi="宋体"/>
                <w:bCs/>
                <w:sz w:val="18"/>
                <w:szCs w:val="21"/>
              </w:rPr>
            </w:pPr>
          </w:p>
        </w:tc>
        <w:tc>
          <w:tcPr>
            <w:tcW w:w="5803" w:type="dxa"/>
            <w:noWrap w:val="0"/>
            <w:vAlign w:val="center"/>
          </w:tcPr>
          <w:p>
            <w:pPr>
              <w:spacing w:before="156" w:beforeLines="50"/>
              <w:rPr>
                <w:rFonts w:ascii="宋体" w:hAnsi="宋体"/>
                <w:sz w:val="18"/>
                <w:szCs w:val="21"/>
              </w:rPr>
            </w:pPr>
            <w:r>
              <w:rPr>
                <w:rFonts w:hint="eastAsia" w:ascii="宋体" w:hAnsi="宋体"/>
                <w:sz w:val="18"/>
                <w:szCs w:val="21"/>
              </w:rPr>
              <w:t>成人袖套</w:t>
            </w:r>
          </w:p>
        </w:tc>
        <w:tc>
          <w:tcPr>
            <w:tcW w:w="887" w:type="dxa"/>
            <w:noWrap w:val="0"/>
            <w:vAlign w:val="center"/>
          </w:tcPr>
          <w:p>
            <w:pPr>
              <w:spacing w:before="156" w:beforeLines="50"/>
              <w:jc w:val="center"/>
              <w:rPr>
                <w:rFonts w:ascii="宋体" w:hAnsi="宋体"/>
                <w:sz w:val="18"/>
                <w:szCs w:val="21"/>
              </w:rPr>
            </w:pPr>
            <w:r>
              <w:rPr>
                <w:rFonts w:hint="eastAsia" w:ascii="宋体" w:hAnsi="宋体"/>
                <w:sz w:val="18"/>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4" w:type="dxa"/>
            <w:noWrap w:val="0"/>
            <w:vAlign w:val="center"/>
          </w:tcPr>
          <w:p>
            <w:pPr>
              <w:pStyle w:val="54"/>
              <w:numPr>
                <w:ilvl w:val="0"/>
                <w:numId w:val="2"/>
              </w:numPr>
              <w:spacing w:before="156" w:beforeLines="50" w:line="360" w:lineRule="exact"/>
              <w:ind w:firstLineChars="0"/>
              <w:jc w:val="center"/>
              <w:rPr>
                <w:rFonts w:ascii="宋体" w:hAnsi="宋体"/>
                <w:bCs/>
                <w:sz w:val="18"/>
                <w:szCs w:val="21"/>
              </w:rPr>
            </w:pPr>
          </w:p>
        </w:tc>
        <w:tc>
          <w:tcPr>
            <w:tcW w:w="5803" w:type="dxa"/>
            <w:noWrap w:val="0"/>
            <w:vAlign w:val="center"/>
          </w:tcPr>
          <w:p>
            <w:pPr>
              <w:spacing w:before="156" w:beforeLines="50"/>
              <w:rPr>
                <w:rFonts w:ascii="宋体" w:hAnsi="宋体"/>
                <w:sz w:val="18"/>
                <w:szCs w:val="21"/>
              </w:rPr>
            </w:pPr>
            <w:r>
              <w:rPr>
                <w:rFonts w:hint="eastAsia" w:ascii="宋体" w:hAnsi="宋体"/>
                <w:sz w:val="18"/>
                <w:szCs w:val="21"/>
              </w:rPr>
              <w:t>无创压外接导气管，带接头</w:t>
            </w:r>
          </w:p>
        </w:tc>
        <w:tc>
          <w:tcPr>
            <w:tcW w:w="887" w:type="dxa"/>
            <w:noWrap w:val="0"/>
            <w:vAlign w:val="center"/>
          </w:tcPr>
          <w:p>
            <w:pPr>
              <w:spacing w:before="156" w:beforeLines="50"/>
              <w:jc w:val="center"/>
              <w:rPr>
                <w:rFonts w:ascii="宋体" w:hAnsi="宋体"/>
                <w:sz w:val="18"/>
                <w:szCs w:val="21"/>
              </w:rPr>
            </w:pPr>
            <w:r>
              <w:rPr>
                <w:rFonts w:hint="eastAsia" w:ascii="宋体" w:hAnsi="宋体"/>
                <w:sz w:val="18"/>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4" w:type="dxa"/>
            <w:noWrap w:val="0"/>
            <w:vAlign w:val="center"/>
          </w:tcPr>
          <w:p>
            <w:pPr>
              <w:pStyle w:val="54"/>
              <w:numPr>
                <w:ilvl w:val="0"/>
                <w:numId w:val="2"/>
              </w:numPr>
              <w:spacing w:before="156" w:beforeLines="50" w:line="360" w:lineRule="exact"/>
              <w:ind w:firstLineChars="0"/>
              <w:jc w:val="center"/>
              <w:rPr>
                <w:rFonts w:ascii="宋体" w:hAnsi="宋体"/>
                <w:bCs/>
                <w:sz w:val="18"/>
                <w:szCs w:val="21"/>
              </w:rPr>
            </w:pPr>
          </w:p>
        </w:tc>
        <w:tc>
          <w:tcPr>
            <w:tcW w:w="5803" w:type="dxa"/>
            <w:noWrap w:val="0"/>
            <w:vAlign w:val="center"/>
          </w:tcPr>
          <w:p>
            <w:pPr>
              <w:spacing w:before="156" w:beforeLines="50"/>
              <w:rPr>
                <w:rFonts w:ascii="宋体" w:hAnsi="宋体" w:cs="宋体"/>
                <w:sz w:val="18"/>
                <w:szCs w:val="21"/>
              </w:rPr>
            </w:pPr>
            <w:r>
              <w:rPr>
                <w:rFonts w:hint="eastAsia" w:ascii="宋体" w:hAnsi="宋体"/>
                <w:sz w:val="18"/>
                <w:szCs w:val="21"/>
              </w:rPr>
              <w:t>监护仪使用说明书</w:t>
            </w:r>
          </w:p>
        </w:tc>
        <w:tc>
          <w:tcPr>
            <w:tcW w:w="887" w:type="dxa"/>
            <w:noWrap w:val="0"/>
            <w:vAlign w:val="center"/>
          </w:tcPr>
          <w:p>
            <w:pPr>
              <w:spacing w:before="156" w:beforeLines="50"/>
              <w:jc w:val="center"/>
              <w:rPr>
                <w:rFonts w:ascii="宋体" w:hAnsi="宋体" w:cs="宋体"/>
                <w:sz w:val="18"/>
                <w:szCs w:val="21"/>
              </w:rPr>
            </w:pPr>
            <w:r>
              <w:rPr>
                <w:rFonts w:hint="eastAsia" w:ascii="宋体" w:hAnsi="宋体"/>
                <w:sz w:val="18"/>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4" w:type="dxa"/>
            <w:noWrap w:val="0"/>
            <w:vAlign w:val="center"/>
          </w:tcPr>
          <w:p>
            <w:pPr>
              <w:pStyle w:val="54"/>
              <w:numPr>
                <w:ilvl w:val="0"/>
                <w:numId w:val="2"/>
              </w:numPr>
              <w:spacing w:before="156" w:beforeLines="50" w:line="360" w:lineRule="exact"/>
              <w:ind w:firstLineChars="0"/>
              <w:jc w:val="center"/>
              <w:rPr>
                <w:rFonts w:ascii="宋体" w:hAnsi="宋体"/>
                <w:bCs/>
                <w:sz w:val="18"/>
                <w:szCs w:val="21"/>
              </w:rPr>
            </w:pPr>
          </w:p>
        </w:tc>
        <w:tc>
          <w:tcPr>
            <w:tcW w:w="5803" w:type="dxa"/>
            <w:noWrap w:val="0"/>
            <w:vAlign w:val="center"/>
          </w:tcPr>
          <w:p>
            <w:pPr>
              <w:spacing w:before="156" w:beforeLines="50"/>
              <w:rPr>
                <w:rFonts w:ascii="宋体" w:hAnsi="宋体" w:cs="宋体"/>
                <w:sz w:val="18"/>
                <w:szCs w:val="21"/>
              </w:rPr>
            </w:pPr>
            <w:r>
              <w:rPr>
                <w:rFonts w:hint="eastAsia" w:ascii="宋体" w:hAnsi="宋体"/>
                <w:sz w:val="18"/>
                <w:szCs w:val="21"/>
              </w:rPr>
              <w:t>监护仪快速指南</w:t>
            </w:r>
          </w:p>
        </w:tc>
        <w:tc>
          <w:tcPr>
            <w:tcW w:w="887" w:type="dxa"/>
            <w:noWrap w:val="0"/>
            <w:vAlign w:val="center"/>
          </w:tcPr>
          <w:p>
            <w:pPr>
              <w:spacing w:before="156" w:beforeLines="50"/>
              <w:jc w:val="center"/>
              <w:rPr>
                <w:rFonts w:ascii="宋体" w:hAnsi="宋体" w:cs="宋体"/>
                <w:sz w:val="18"/>
                <w:szCs w:val="21"/>
              </w:rPr>
            </w:pPr>
            <w:r>
              <w:rPr>
                <w:rFonts w:hint="eastAsia" w:ascii="宋体" w:hAnsi="宋体"/>
                <w:sz w:val="18"/>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4" w:type="dxa"/>
            <w:noWrap w:val="0"/>
            <w:vAlign w:val="center"/>
          </w:tcPr>
          <w:p>
            <w:pPr>
              <w:pStyle w:val="54"/>
              <w:numPr>
                <w:ilvl w:val="0"/>
                <w:numId w:val="2"/>
              </w:numPr>
              <w:spacing w:before="156" w:beforeLines="50" w:line="360" w:lineRule="exact"/>
              <w:ind w:firstLineChars="0"/>
              <w:jc w:val="center"/>
              <w:rPr>
                <w:rFonts w:ascii="宋体" w:hAnsi="宋体"/>
                <w:bCs/>
                <w:sz w:val="18"/>
                <w:szCs w:val="21"/>
              </w:rPr>
            </w:pPr>
          </w:p>
        </w:tc>
        <w:tc>
          <w:tcPr>
            <w:tcW w:w="5803" w:type="dxa"/>
            <w:noWrap w:val="0"/>
            <w:vAlign w:val="center"/>
          </w:tcPr>
          <w:p>
            <w:pPr>
              <w:spacing w:before="156" w:beforeLines="50"/>
              <w:rPr>
                <w:rFonts w:ascii="宋体" w:hAnsi="宋体" w:cs="宋体"/>
                <w:sz w:val="18"/>
                <w:szCs w:val="21"/>
              </w:rPr>
            </w:pPr>
            <w:r>
              <w:rPr>
                <w:rFonts w:hint="eastAsia" w:ascii="宋体" w:hAnsi="宋体"/>
                <w:sz w:val="18"/>
                <w:szCs w:val="21"/>
              </w:rPr>
              <w:t>合格证</w:t>
            </w:r>
          </w:p>
        </w:tc>
        <w:tc>
          <w:tcPr>
            <w:tcW w:w="887" w:type="dxa"/>
            <w:noWrap w:val="0"/>
            <w:vAlign w:val="center"/>
          </w:tcPr>
          <w:p>
            <w:pPr>
              <w:spacing w:before="156" w:beforeLines="50"/>
              <w:jc w:val="center"/>
              <w:rPr>
                <w:rFonts w:ascii="宋体" w:hAnsi="宋体" w:cs="宋体"/>
                <w:sz w:val="18"/>
                <w:szCs w:val="21"/>
              </w:rPr>
            </w:pPr>
            <w:r>
              <w:rPr>
                <w:rFonts w:hint="eastAsia" w:ascii="宋体" w:hAnsi="宋体"/>
                <w:sz w:val="18"/>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4" w:type="dxa"/>
            <w:noWrap w:val="0"/>
            <w:vAlign w:val="center"/>
          </w:tcPr>
          <w:p>
            <w:pPr>
              <w:pStyle w:val="54"/>
              <w:numPr>
                <w:ilvl w:val="0"/>
                <w:numId w:val="2"/>
              </w:numPr>
              <w:spacing w:before="156" w:beforeLines="50" w:line="360" w:lineRule="exact"/>
              <w:ind w:firstLineChars="0"/>
              <w:jc w:val="center"/>
              <w:rPr>
                <w:rFonts w:ascii="宋体" w:hAnsi="宋体"/>
                <w:bCs/>
                <w:sz w:val="18"/>
                <w:szCs w:val="21"/>
              </w:rPr>
            </w:pPr>
          </w:p>
        </w:tc>
        <w:tc>
          <w:tcPr>
            <w:tcW w:w="5803" w:type="dxa"/>
            <w:noWrap w:val="0"/>
            <w:vAlign w:val="center"/>
          </w:tcPr>
          <w:p>
            <w:pPr>
              <w:spacing w:before="156" w:beforeLines="50"/>
              <w:rPr>
                <w:rFonts w:ascii="宋体" w:hAnsi="宋体" w:cs="宋体"/>
                <w:sz w:val="18"/>
                <w:szCs w:val="21"/>
              </w:rPr>
            </w:pPr>
            <w:r>
              <w:rPr>
                <w:rFonts w:hint="eastAsia" w:ascii="宋体" w:hAnsi="宋体"/>
                <w:sz w:val="18"/>
                <w:szCs w:val="21"/>
              </w:rPr>
              <w:t>设备保修卡</w:t>
            </w:r>
          </w:p>
        </w:tc>
        <w:tc>
          <w:tcPr>
            <w:tcW w:w="887" w:type="dxa"/>
            <w:noWrap w:val="0"/>
            <w:vAlign w:val="center"/>
          </w:tcPr>
          <w:p>
            <w:pPr>
              <w:spacing w:before="156" w:beforeLines="50"/>
              <w:jc w:val="center"/>
              <w:rPr>
                <w:rFonts w:ascii="宋体" w:hAnsi="宋体" w:cs="宋体"/>
                <w:sz w:val="18"/>
                <w:szCs w:val="21"/>
              </w:rPr>
            </w:pPr>
            <w:r>
              <w:rPr>
                <w:rFonts w:hint="eastAsia" w:ascii="宋体" w:hAnsi="宋体"/>
                <w:sz w:val="18"/>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4" w:type="dxa"/>
            <w:noWrap w:val="0"/>
            <w:vAlign w:val="center"/>
          </w:tcPr>
          <w:p>
            <w:pPr>
              <w:pStyle w:val="54"/>
              <w:numPr>
                <w:ilvl w:val="0"/>
                <w:numId w:val="2"/>
              </w:numPr>
              <w:spacing w:before="156" w:beforeLines="50" w:line="360" w:lineRule="exact"/>
              <w:ind w:firstLineChars="0"/>
              <w:jc w:val="center"/>
              <w:rPr>
                <w:rFonts w:ascii="宋体" w:hAnsi="宋体"/>
                <w:bCs/>
                <w:sz w:val="18"/>
                <w:szCs w:val="21"/>
              </w:rPr>
            </w:pPr>
          </w:p>
        </w:tc>
        <w:tc>
          <w:tcPr>
            <w:tcW w:w="5803" w:type="dxa"/>
            <w:noWrap w:val="0"/>
            <w:vAlign w:val="center"/>
          </w:tcPr>
          <w:p>
            <w:pPr>
              <w:spacing w:before="156" w:beforeLines="50"/>
              <w:rPr>
                <w:rFonts w:ascii="宋体" w:hAnsi="宋体" w:cs="宋体"/>
                <w:sz w:val="18"/>
                <w:szCs w:val="21"/>
              </w:rPr>
            </w:pPr>
            <w:r>
              <w:rPr>
                <w:rFonts w:hint="eastAsia" w:ascii="宋体" w:hAnsi="宋体"/>
                <w:sz w:val="18"/>
                <w:szCs w:val="21"/>
              </w:rPr>
              <w:t>三芯国标电源线</w:t>
            </w:r>
          </w:p>
        </w:tc>
        <w:tc>
          <w:tcPr>
            <w:tcW w:w="887" w:type="dxa"/>
            <w:noWrap w:val="0"/>
            <w:vAlign w:val="center"/>
          </w:tcPr>
          <w:p>
            <w:pPr>
              <w:spacing w:before="156" w:beforeLines="50"/>
              <w:jc w:val="center"/>
              <w:rPr>
                <w:rFonts w:ascii="宋体" w:hAnsi="宋体" w:cs="宋体"/>
                <w:sz w:val="18"/>
                <w:szCs w:val="21"/>
              </w:rPr>
            </w:pPr>
            <w:r>
              <w:rPr>
                <w:rFonts w:hint="eastAsia" w:ascii="宋体" w:hAnsi="宋体"/>
                <w:sz w:val="18"/>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4" w:type="dxa"/>
            <w:noWrap w:val="0"/>
            <w:vAlign w:val="center"/>
          </w:tcPr>
          <w:p>
            <w:pPr>
              <w:pStyle w:val="54"/>
              <w:numPr>
                <w:ilvl w:val="0"/>
                <w:numId w:val="2"/>
              </w:numPr>
              <w:spacing w:before="156" w:beforeLines="50" w:line="360" w:lineRule="exact"/>
              <w:ind w:firstLineChars="0"/>
              <w:jc w:val="center"/>
              <w:rPr>
                <w:rFonts w:ascii="宋体" w:hAnsi="宋体"/>
                <w:bCs/>
                <w:sz w:val="18"/>
                <w:szCs w:val="21"/>
              </w:rPr>
            </w:pPr>
          </w:p>
        </w:tc>
        <w:tc>
          <w:tcPr>
            <w:tcW w:w="5803" w:type="dxa"/>
            <w:noWrap w:val="0"/>
            <w:vAlign w:val="center"/>
          </w:tcPr>
          <w:p>
            <w:pPr>
              <w:autoSpaceDE w:val="0"/>
              <w:autoSpaceDN w:val="0"/>
              <w:adjustRightInd w:val="0"/>
              <w:spacing w:before="156" w:beforeLines="50"/>
              <w:jc w:val="left"/>
              <w:rPr>
                <w:rFonts w:ascii="宋体" w:hAnsi="宋体"/>
                <w:sz w:val="18"/>
                <w:szCs w:val="21"/>
              </w:rPr>
            </w:pPr>
            <w:r>
              <w:rPr>
                <w:rFonts w:hint="eastAsia" w:ascii="宋体" w:hAnsi="宋体"/>
                <w:sz w:val="18"/>
                <w:szCs w:val="21"/>
              </w:rPr>
              <w:t>锂电池</w:t>
            </w:r>
          </w:p>
        </w:tc>
        <w:tc>
          <w:tcPr>
            <w:tcW w:w="887" w:type="dxa"/>
            <w:noWrap w:val="0"/>
            <w:vAlign w:val="center"/>
          </w:tcPr>
          <w:p>
            <w:pPr>
              <w:spacing w:before="156" w:beforeLines="50"/>
              <w:jc w:val="center"/>
              <w:rPr>
                <w:rFonts w:ascii="宋体" w:hAnsi="宋体"/>
                <w:sz w:val="18"/>
                <w:szCs w:val="21"/>
              </w:rPr>
            </w:pPr>
            <w:r>
              <w:rPr>
                <w:rFonts w:hint="eastAsia" w:ascii="宋体" w:hAnsi="宋体"/>
                <w:sz w:val="18"/>
                <w:szCs w:val="21"/>
              </w:rPr>
              <w:t>1</w:t>
            </w:r>
          </w:p>
        </w:tc>
      </w:tr>
    </w:tbl>
    <w:p>
      <w:pPr>
        <w:spacing w:line="276" w:lineRule="auto"/>
        <w:jc w:val="left"/>
        <w:rPr>
          <w:rFonts w:ascii="宋体" w:hAnsi="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cs="Times New Roman" w:asciiTheme="minorEastAsia" w:hAnsiTheme="minorEastAsia" w:eastAsiaTheme="minorEastAsia"/>
          <w:b/>
          <w:bCs/>
          <w:color w:val="auto"/>
          <w:kern w:val="2"/>
          <w:sz w:val="30"/>
          <w:szCs w:val="30"/>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cs="Times New Roman" w:asciiTheme="minorEastAsia" w:hAnsiTheme="minorEastAsia" w:eastAsiaTheme="minorEastAsia"/>
          <w:b/>
          <w:bCs/>
          <w:color w:val="auto"/>
          <w:kern w:val="2"/>
          <w:sz w:val="30"/>
          <w:szCs w:val="30"/>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cs="Times New Roman" w:asciiTheme="minorEastAsia" w:hAnsiTheme="minorEastAsia" w:eastAsiaTheme="minorEastAsia"/>
          <w:b/>
          <w:bCs/>
          <w:color w:val="auto"/>
          <w:kern w:val="2"/>
          <w:sz w:val="30"/>
          <w:szCs w:val="30"/>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cs="Times New Roman" w:asciiTheme="minorEastAsia" w:hAnsiTheme="minorEastAsia" w:eastAsiaTheme="minorEastAsia"/>
          <w:b/>
          <w:bCs/>
          <w:color w:val="auto"/>
          <w:kern w:val="2"/>
          <w:sz w:val="30"/>
          <w:szCs w:val="30"/>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cs="Times New Roman" w:asciiTheme="minorEastAsia" w:hAnsiTheme="minorEastAsia" w:eastAsiaTheme="minorEastAsia"/>
          <w:b/>
          <w:bCs/>
          <w:color w:val="auto"/>
          <w:kern w:val="2"/>
          <w:sz w:val="30"/>
          <w:szCs w:val="30"/>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cs="Times New Roman" w:asciiTheme="minorEastAsia" w:hAnsiTheme="minorEastAsia" w:eastAsiaTheme="minorEastAsia"/>
          <w:b/>
          <w:bCs/>
          <w:color w:val="auto"/>
          <w:kern w:val="2"/>
          <w:sz w:val="30"/>
          <w:szCs w:val="30"/>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cs="Times New Roman" w:asciiTheme="minorEastAsia" w:hAnsiTheme="minorEastAsia" w:eastAsiaTheme="minorEastAsia"/>
          <w:b/>
          <w:bCs/>
          <w:color w:val="auto"/>
          <w:kern w:val="2"/>
          <w:sz w:val="30"/>
          <w:szCs w:val="30"/>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cs="Times New Roman" w:asciiTheme="minorEastAsia" w:hAnsiTheme="minorEastAsia" w:eastAsiaTheme="minorEastAsia"/>
          <w:b/>
          <w:bCs/>
          <w:color w:val="auto"/>
          <w:kern w:val="2"/>
          <w:sz w:val="30"/>
          <w:szCs w:val="30"/>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cs="Times New Roman" w:asciiTheme="minorEastAsia" w:hAnsiTheme="minorEastAsia" w:eastAsiaTheme="minorEastAsia"/>
          <w:b/>
          <w:bCs/>
          <w:color w:val="auto"/>
          <w:kern w:val="2"/>
          <w:sz w:val="30"/>
          <w:szCs w:val="30"/>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cs="Times New Roman" w:asciiTheme="minorEastAsia" w:hAnsiTheme="minorEastAsia" w:eastAsiaTheme="minorEastAsia"/>
          <w:b/>
          <w:bCs/>
          <w:color w:val="auto"/>
          <w:kern w:val="2"/>
          <w:sz w:val="30"/>
          <w:szCs w:val="30"/>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cs="Times New Roman" w:asciiTheme="minorEastAsia" w:hAnsiTheme="minorEastAsia" w:eastAsiaTheme="minorEastAsia"/>
          <w:b/>
          <w:bCs/>
          <w:color w:val="auto"/>
          <w:kern w:val="2"/>
          <w:sz w:val="30"/>
          <w:szCs w:val="30"/>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 合同签约地点：三台县人民医院。</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 配送及安装地址：三台县人民医院。</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 交货期：签订合同后5日内。</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 质保期：主机≥3年（附件≥6个月）。</w:t>
      </w:r>
      <w:bookmarkStart w:id="7" w:name="_Toc520455383"/>
      <w:bookmarkStart w:id="8" w:name="_Toc52036325"/>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 保修期内出现任何问题，乙方在接到维修通知后2小时内响应，12小时提出解决方案，24小时（不可抗力因素除外）维修人员到达现场，及时完成维修或更换，维修解决不了的及时提供备用机。</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default"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 乙方在保修期内对该设备进行不少于1次的保养。</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2.4 在设备使用期间，保证国内零配件送达时间不超过7天，进品零配件送达时间不超过20天。如果设备停产，其备件的供应期可达到10年及以上，并以优惠的价格提供该设备所需的维修零配件（在承诺书中标明零配件价格）。</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 货到安装验收合格1个月内付合同总价的70% ，验收合格半年后1个月内付合同总价的20% ，验收合格一年后1个月内付合同总价10% 。</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付款方式：转账、电汇等非现金方式。</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Times New Roman" w:hAnsi="Times New Roman"/>
          <w:b/>
          <w:bCs/>
          <w:color w:val="auto"/>
          <w:kern w:val="0"/>
          <w:sz w:val="32"/>
          <w:szCs w:val="32"/>
        </w:rPr>
      </w:pPr>
      <w:bookmarkStart w:id="9" w:name="_Toc520455385"/>
      <w:r>
        <w:rPr>
          <w:rFonts w:hint="eastAsia"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lang w:eastAsia="zh-CN"/>
        </w:rPr>
        <w:t>“</w:t>
      </w:r>
      <w:r>
        <w:rPr>
          <w:rFonts w:hint="eastAsia" w:ascii="宋体" w:hAnsi="宋体" w:eastAsia="宋体" w:cs="宋体"/>
          <w:sz w:val="24"/>
          <w:szCs w:val="24"/>
        </w:rPr>
        <w:t>▲</w:t>
      </w:r>
      <w:r>
        <w:rPr>
          <w:rFonts w:hint="eastAsia" w:asciiTheme="minorEastAsia" w:hAnsiTheme="minorEastAsia" w:eastAsiaTheme="minorEastAsia"/>
          <w:b/>
          <w:color w:val="auto"/>
          <w:kern w:val="0"/>
          <w:sz w:val="24"/>
          <w:lang w:eastAsia="zh-CN"/>
        </w:rPr>
        <w:t>”条款和</w:t>
      </w:r>
      <w:r>
        <w:rPr>
          <w:rFonts w:hint="eastAsia" w:asciiTheme="minorEastAsia" w:hAnsiTheme="minorEastAsia" w:eastAsiaTheme="minorEastAsia"/>
          <w:b/>
          <w:color w:val="auto"/>
          <w:kern w:val="0"/>
          <w:sz w:val="24"/>
        </w:rPr>
        <w:t>商务要求</w:t>
      </w:r>
      <w:r>
        <w:rPr>
          <w:rFonts w:hint="eastAsia" w:asciiTheme="minorEastAsia" w:hAnsiTheme="minorEastAsia" w:eastAsiaTheme="minorEastAsia"/>
          <w:b/>
          <w:color w:val="auto"/>
          <w:kern w:val="0"/>
          <w:sz w:val="24"/>
          <w:lang w:eastAsia="zh-CN"/>
        </w:rPr>
        <w:t>均</w:t>
      </w:r>
      <w:r>
        <w:rPr>
          <w:rFonts w:hint="eastAsia" w:asciiTheme="minorEastAsia" w:hAnsiTheme="minorEastAsia" w:eastAsiaTheme="minorEastAsia"/>
          <w:b/>
          <w:color w:val="auto"/>
          <w:kern w:val="0"/>
          <w:sz w:val="24"/>
        </w:rPr>
        <w:t>为实质性要求，负偏离将导致响应文件无效。</w:t>
      </w:r>
    </w:p>
    <w:p>
      <w:pPr>
        <w:rPr>
          <w:rFonts w:hint="eastAsia" w:ascii="Times New Roman" w:hAnsi="Times New Roman"/>
          <w:sz w:val="32"/>
          <w:szCs w:val="32"/>
          <w:lang w:eastAsia="zh-CN"/>
        </w:rPr>
      </w:pPr>
      <w:r>
        <w:rPr>
          <w:rFonts w:hint="eastAsia" w:ascii="Times New Roman" w:hAnsi="Times New Roman"/>
          <w:sz w:val="32"/>
          <w:szCs w:val="32"/>
          <w:lang w:eastAsia="zh-CN"/>
        </w:rPr>
        <w:br w:type="page"/>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hint="eastAsia" w:ascii="Times New Roman" w:hAnsi="Times New Roman"/>
          <w:sz w:val="32"/>
          <w:szCs w:val="32"/>
          <w:lang w:eastAsia="zh-CN"/>
        </w:rPr>
        <w:t>第三章</w:t>
      </w:r>
      <w:r>
        <w:rPr>
          <w:rFonts w:hint="eastAsia" w:ascii="Times New Roman" w:hAnsi="Times New Roman"/>
          <w:sz w:val="32"/>
          <w:szCs w:val="32"/>
          <w:lang w:val="en-US" w:eastAsia="zh-CN"/>
        </w:rPr>
        <w:t xml:space="preserve"> </w:t>
      </w:r>
      <w:r>
        <w:rPr>
          <w:rFonts w:ascii="Times New Roman" w:hAnsi="Times New Roman"/>
          <w:sz w:val="32"/>
          <w:szCs w:val="32"/>
        </w:rPr>
        <w:t>响应文件格式</w:t>
      </w:r>
      <w:r>
        <w:rPr>
          <w:rFonts w:hint="eastAsia" w:ascii="Times New Roman" w:hAnsi="Times New Roman"/>
          <w:sz w:val="32"/>
          <w:szCs w:val="32"/>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（一式两份，一正一副，封面注明设备名称，报价为一次性报价。）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21</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2</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7、提供医疗器械经营许可证或医疗器械经营备案凭证复印件（本条对I类医疗器械产品，不具效力）。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kern w:val="0"/>
          <w:sz w:val="24"/>
          <w:szCs w:val="24"/>
          <w:lang w:val="en-US" w:eastAsia="zh-CN"/>
        </w:rPr>
        <w:t>如果</w:t>
      </w:r>
      <w:r>
        <w:rPr>
          <w:rFonts w:ascii="Times New Roman" w:hAnsi="Times New Roman"/>
          <w:kern w:val="0"/>
          <w:sz w:val="24"/>
          <w:szCs w:val="24"/>
          <w:lang w:val="zh-CN"/>
        </w:rPr>
        <w:t>比选申请人响应文件相关资料和本章所制格式不一致的，比选小组将在比选时以响应文件不规范予以比选申请人修正。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pPr>
        <w:spacing w:line="360" w:lineRule="auto"/>
        <w:jc w:val="left"/>
        <w:rPr>
          <w:rFonts w:ascii="Times New Roman" w:hAnsi="Times New Roman"/>
          <w:kern w:val="0"/>
          <w:sz w:val="24"/>
          <w:szCs w:val="24"/>
          <w:lang w:val="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p>
    <w:p>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四</w:t>
      </w:r>
      <w:r>
        <w:rPr>
          <w:rFonts w:hint="eastAsia" w:ascii="Times New Roman" w:hAnsi="Times New Roman"/>
          <w:b/>
          <w:bCs/>
          <w:color w:val="auto"/>
          <w:kern w:val="0"/>
          <w:sz w:val="32"/>
          <w:szCs w:val="32"/>
        </w:rPr>
        <w:t>章 评标与定标</w:t>
      </w:r>
    </w:p>
    <w:p>
      <w:pPr>
        <w:widowControl/>
        <w:adjustRightInd w:val="0"/>
        <w:snapToGrid w:val="0"/>
        <w:spacing w:line="400" w:lineRule="exact"/>
        <w:ind w:firstLine="480" w:firstLineChars="200"/>
        <w:jc w:val="left"/>
        <w:rPr>
          <w:rFonts w:hint="eastAsia" w:ascii="Times New Roman" w:hAnsi="Times New Roman" w:eastAsia="宋体"/>
          <w:b/>
          <w:bCs/>
          <w:color w:val="auto"/>
          <w:kern w:val="0"/>
          <w:sz w:val="24"/>
          <w:szCs w:val="20"/>
          <w:lang w:eastAsia="zh-CN"/>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p>
    <w:p>
      <w:pPr>
        <w:widowControl/>
        <w:adjustRightInd w:val="0"/>
        <w:snapToGrid w:val="0"/>
        <w:spacing w:line="400" w:lineRule="exact"/>
        <w:jc w:val="left"/>
        <w:rPr>
          <w:rFonts w:ascii="Times New Roman" w:hAnsi="Times New Roman"/>
          <w:b/>
          <w:bCs/>
          <w:color w:val="auto"/>
          <w:kern w:val="0"/>
          <w:sz w:val="24"/>
          <w:szCs w:val="20"/>
        </w:rPr>
      </w:pPr>
      <w:r>
        <w:rPr>
          <w:rFonts w:ascii="Times New Roman" w:hAnsi="Times New Roman"/>
          <w:b/>
          <w:bCs/>
          <w:color w:val="auto"/>
          <w:kern w:val="0"/>
          <w:sz w:val="24"/>
          <w:szCs w:val="20"/>
        </w:rPr>
        <w:t>综合评分明细表</w:t>
      </w:r>
      <w:bookmarkEnd w:id="9"/>
    </w:p>
    <w:p>
      <w:pPr>
        <w:widowControl/>
        <w:adjustRightInd w:val="0"/>
        <w:snapToGrid w:val="0"/>
        <w:spacing w:line="400" w:lineRule="exact"/>
        <w:jc w:val="left"/>
        <w:rPr>
          <w:rFonts w:hint="eastAsia" w:ascii="Times New Roman" w:hAnsi="Times New Roman"/>
          <w:b/>
          <w:bCs/>
          <w:color w:val="auto"/>
          <w:kern w:val="0"/>
          <w:sz w:val="24"/>
          <w:szCs w:val="20"/>
        </w:rPr>
      </w:pPr>
    </w:p>
    <w:tbl>
      <w:tblPr>
        <w:tblStyle w:val="24"/>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hint="eastAsia" w:ascii="宋体" w:hAnsi="宋体"/>
                <w:b/>
                <w:bCs/>
                <w:color w:val="auto"/>
                <w:szCs w:val="21"/>
              </w:rPr>
            </w:pPr>
          </w:p>
          <w:p>
            <w:pPr>
              <w:spacing w:line="0" w:lineRule="atLeast"/>
              <w:ind w:firstLine="28" w:firstLineChars="0"/>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rPr>
              <w:t>6</w:t>
            </w:r>
            <w:r>
              <w:rPr>
                <w:rFonts w:hint="eastAsia" w:ascii="宋体" w:hAnsi="宋体"/>
                <w:bCs/>
                <w:color w:val="auto"/>
                <w:sz w:val="24"/>
                <w:szCs w:val="24"/>
                <w:lang w:val="en-US" w:eastAsia="zh-CN"/>
              </w:rPr>
              <w:t>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完全符合招标文件要求没有负偏离得6</w:t>
            </w:r>
            <w:r>
              <w:rPr>
                <w:rFonts w:hint="eastAsia" w:ascii="宋体" w:hAnsi="宋体"/>
                <w:color w:val="auto"/>
                <w:sz w:val="24"/>
                <w:szCs w:val="24"/>
                <w:lang w:val="en-US" w:eastAsia="zh-CN"/>
              </w:rPr>
              <w:t>0</w:t>
            </w:r>
            <w:r>
              <w:rPr>
                <w:rFonts w:ascii="宋体" w:hAnsi="宋体"/>
                <w:color w:val="auto"/>
                <w:sz w:val="24"/>
                <w:szCs w:val="24"/>
              </w:rPr>
              <w:t>分；星号条款(标注▲)的技术参数，一条不满足扣</w:t>
            </w:r>
            <w:r>
              <w:rPr>
                <w:rFonts w:hint="eastAsia" w:ascii="宋体" w:hAnsi="宋体"/>
                <w:color w:val="auto"/>
                <w:sz w:val="24"/>
                <w:szCs w:val="24"/>
                <w:lang w:val="en-US" w:eastAsia="zh-CN"/>
              </w:rPr>
              <w:t>6.5</w:t>
            </w:r>
            <w:r>
              <w:rPr>
                <w:rFonts w:ascii="宋体" w:hAnsi="宋体"/>
                <w:color w:val="auto"/>
                <w:sz w:val="24"/>
                <w:szCs w:val="24"/>
              </w:rPr>
              <w:t>分，非星号条款的技术参数，一条不满足扣</w:t>
            </w:r>
            <w:r>
              <w:rPr>
                <w:rFonts w:hint="eastAsia" w:ascii="宋体" w:hAnsi="宋体"/>
                <w:color w:val="auto"/>
                <w:sz w:val="24"/>
                <w:szCs w:val="24"/>
                <w:lang w:val="en-US" w:eastAsia="zh-CN"/>
              </w:rPr>
              <w:t>1</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s="宋体"/>
                <w:sz w:val="24"/>
                <w:szCs w:val="24"/>
                <w:lang w:eastAsia="zh-CN"/>
              </w:rPr>
              <w:t>“</w:t>
            </w:r>
            <w:r>
              <w:rPr>
                <w:rFonts w:ascii="宋体" w:hAnsi="宋体"/>
                <w:color w:val="auto"/>
                <w:sz w:val="24"/>
                <w:szCs w:val="24"/>
              </w:rPr>
              <w:t>▲</w:t>
            </w:r>
            <w:r>
              <w:rPr>
                <w:rFonts w:hint="eastAsia" w:ascii="宋体" w:hAnsi="宋体" w:cs="宋体"/>
                <w:sz w:val="24"/>
                <w:szCs w:val="24"/>
                <w:lang w:eastAsia="zh-CN"/>
              </w:rPr>
              <w:t>”</w:t>
            </w:r>
            <w:r>
              <w:rPr>
                <w:rFonts w:hint="eastAsia" w:ascii="宋体" w:hAnsi="宋体"/>
                <w:color w:val="auto"/>
                <w:sz w:val="24"/>
                <w:szCs w:val="24"/>
              </w:rPr>
              <w:t>号参数须提供产品说明书或检测报告证明材料作为佐证。不提供</w:t>
            </w:r>
            <w:r>
              <w:rPr>
                <w:rFonts w:hint="eastAsia" w:ascii="宋体" w:hAnsi="宋体"/>
                <w:color w:val="auto"/>
                <w:sz w:val="24"/>
                <w:szCs w:val="24"/>
                <w:lang w:eastAsia="zh-CN"/>
              </w:rPr>
              <w:t>视为不满足</w:t>
            </w:r>
            <w:r>
              <w:rPr>
                <w:rFonts w:hint="eastAsia" w:ascii="宋体" w:hAnsi="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22</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分，每有一项内容存在缺陷的扣1分，扣完为止。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rPr>
          <w:rFonts w:hint="eastAsia" w:ascii="Times New Roman" w:hAnsi="Times New Roman"/>
          <w:b/>
          <w:bCs/>
          <w:color w:val="FF0000"/>
          <w:kern w:val="0"/>
          <w:sz w:val="24"/>
          <w:szCs w:val="20"/>
          <w:lang w:eastAsia="zh-CN"/>
        </w:rPr>
      </w:pPr>
    </w:p>
    <w:p>
      <w:pPr>
        <w:pStyle w:val="7"/>
        <w:rPr>
          <w:rFonts w:hint="eastAsia"/>
          <w:color w:val="auto"/>
          <w:lang w:eastAsia="zh-CN"/>
        </w:rPr>
      </w:pPr>
    </w:p>
    <w:p>
      <w:pPr>
        <w:pStyle w:val="7"/>
        <w:rPr>
          <w:rFonts w:hint="eastAsia"/>
          <w:color w:val="auto"/>
          <w:lang w:eastAsia="zh-CN"/>
        </w:rPr>
      </w:pPr>
    </w:p>
    <w:p>
      <w:pPr>
        <w:pStyle w:val="7"/>
        <w:rPr>
          <w:rFonts w:hint="eastAsia"/>
          <w:color w:val="auto"/>
          <w:lang w:eastAsia="zh-CN"/>
        </w:rPr>
      </w:pPr>
    </w:p>
    <w:p>
      <w:pPr>
        <w:pStyle w:val="7"/>
        <w:rPr>
          <w:rFonts w:hint="eastAsia"/>
          <w:color w:val="auto"/>
          <w:lang w:eastAsia="zh-CN"/>
        </w:rPr>
      </w:pPr>
    </w:p>
    <w:p>
      <w:pPr>
        <w:rPr>
          <w:rFonts w:hint="eastAsia"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br w:type="page"/>
      </w:r>
    </w:p>
    <w:bookmarkEnd w:id="7"/>
    <w:bookmarkEnd w:id="8"/>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kern w:val="0"/>
          <w:sz w:val="32"/>
          <w:szCs w:val="20"/>
        </w:rPr>
      </w:pP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0" w:name="_Toc40447267"/>
      <w:bookmarkStart w:id="11" w:name="_Toc33698132"/>
      <w:bookmarkStart w:id="12" w:name="_Toc34051805"/>
      <w:bookmarkStart w:id="13" w:name="_Toc52036326"/>
      <w:bookmarkStart w:id="14" w:name="_Toc33709793"/>
      <w:r>
        <w:rPr>
          <w:rFonts w:ascii="Times New Roman" w:hAnsi="Times New Roman" w:eastAsia="黑体"/>
          <w:b/>
          <w:kern w:val="0"/>
          <w:sz w:val="32"/>
          <w:szCs w:val="32"/>
        </w:rPr>
        <w:t>一、封面</w:t>
      </w:r>
      <w:bookmarkEnd w:id="10"/>
      <w:bookmarkEnd w:id="11"/>
      <w:bookmarkEnd w:id="12"/>
      <w:bookmarkEnd w:id="13"/>
      <w:bookmarkEnd w:id="1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5" w:name="_Toc33709794"/>
      <w:bookmarkStart w:id="16" w:name="_Toc34051806"/>
      <w:bookmarkStart w:id="17" w:name="_Toc40447268"/>
      <w:bookmarkStart w:id="18" w:name="_Toc52036327"/>
      <w:bookmarkStart w:id="19" w:name="_Toc33698133"/>
      <w:r>
        <w:rPr>
          <w:rFonts w:ascii="Times New Roman" w:hAnsi="Times New Roman" w:eastAsia="黑体"/>
          <w:b/>
          <w:kern w:val="0"/>
          <w:sz w:val="32"/>
          <w:szCs w:val="32"/>
        </w:rPr>
        <w:t>二、法定代表人/单位负责人授权书</w:t>
      </w:r>
      <w:bookmarkEnd w:id="15"/>
      <w:bookmarkEnd w:id="16"/>
      <w:bookmarkEnd w:id="17"/>
      <w:bookmarkEnd w:id="18"/>
      <w:bookmarkEnd w:id="19"/>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0" w:name="_Toc40447269"/>
      <w:bookmarkStart w:id="21" w:name="_Toc33698134"/>
      <w:bookmarkStart w:id="22" w:name="_Toc52036328"/>
      <w:bookmarkStart w:id="23" w:name="_Toc34051807"/>
      <w:bookmarkStart w:id="24" w:name="_Toc33709795"/>
      <w:r>
        <w:rPr>
          <w:rFonts w:ascii="Times New Roman" w:hAnsi="Times New Roman" w:eastAsia="黑体"/>
          <w:b/>
          <w:kern w:val="0"/>
          <w:sz w:val="32"/>
          <w:szCs w:val="32"/>
        </w:rPr>
        <w:t>三、承诺函</w:t>
      </w:r>
      <w:bookmarkEnd w:id="20"/>
      <w:bookmarkEnd w:id="21"/>
      <w:bookmarkEnd w:id="22"/>
      <w:bookmarkEnd w:id="23"/>
      <w:bookmarkEnd w:id="2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5" w:name="_Toc52036329"/>
      <w:bookmarkStart w:id="26" w:name="_Toc33709796"/>
      <w:bookmarkStart w:id="27" w:name="_Toc33698135"/>
      <w:bookmarkStart w:id="28" w:name="_Toc34051808"/>
      <w:bookmarkStart w:id="29" w:name="_Toc40447270"/>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0" w:name="_Toc307564880"/>
      <w:bookmarkStart w:id="31" w:name="_Toc436385992"/>
      <w:bookmarkStart w:id="32" w:name="_Toc436820890"/>
      <w:bookmarkStart w:id="33" w:name="_Toc436410129"/>
      <w:bookmarkStart w:id="34" w:name="_Toc436404120"/>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7293"/>
      <w:bookmarkStart w:id="36" w:name="_Toc503987104"/>
      <w:bookmarkStart w:id="37" w:name="_Toc503986415"/>
      <w:bookmarkStart w:id="38" w:name="_Toc503986971"/>
      <w:bookmarkStart w:id="39" w:name="_Toc503986838"/>
      <w:bookmarkStart w:id="40" w:name="_Toc503987183"/>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1" w:name="_Toc52036330"/>
      <w:bookmarkStart w:id="42" w:name="_Toc33698136"/>
      <w:bookmarkStart w:id="43" w:name="_Toc33709797"/>
      <w:bookmarkStart w:id="44" w:name="_Toc34051809"/>
      <w:bookmarkStart w:id="45" w:name="_Toc40447271"/>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6" w:name="_Toc33698137"/>
      <w:bookmarkStart w:id="47" w:name="_Toc34051810"/>
      <w:bookmarkStart w:id="48" w:name="_Toc40447272"/>
      <w:bookmarkStart w:id="49" w:name="_Toc52036331"/>
      <w:bookmarkStart w:id="50" w:name="_Toc33709798"/>
      <w:r>
        <w:rPr>
          <w:rFonts w:ascii="Times New Roman" w:hAnsi="Times New Roman" w:eastAsia="黑体"/>
          <w:b/>
          <w:kern w:val="0"/>
          <w:sz w:val="32"/>
          <w:szCs w:val="32"/>
        </w:rPr>
        <w:t>九、知识产权承诺函</w:t>
      </w:r>
      <w:bookmarkEnd w:id="46"/>
      <w:bookmarkEnd w:id="47"/>
      <w:bookmarkEnd w:id="48"/>
      <w:bookmarkEnd w:id="49"/>
      <w:bookmarkEnd w:id="50"/>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1E611C"/>
    <w:multiLevelType w:val="multilevel"/>
    <w:tmpl w:val="4C1E611C"/>
    <w:lvl w:ilvl="0" w:tentative="0">
      <w:start w:val="1"/>
      <w:numFmt w:val="decimal"/>
      <w:lvlText w:val="%1"/>
      <w:lvlJc w:val="right"/>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47350BE"/>
    <w:multiLevelType w:val="multilevel"/>
    <w:tmpl w:val="647350BE"/>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OWIwMTg2YjBjMTc0ZDQwOTNkNzE0MDU2ZGZkZW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A2669D"/>
    <w:rsid w:val="01BD420B"/>
    <w:rsid w:val="01EC20B3"/>
    <w:rsid w:val="022D45E9"/>
    <w:rsid w:val="027B5769"/>
    <w:rsid w:val="04811B11"/>
    <w:rsid w:val="04E70C2A"/>
    <w:rsid w:val="04EB48D3"/>
    <w:rsid w:val="054B6568"/>
    <w:rsid w:val="066C2850"/>
    <w:rsid w:val="08040B54"/>
    <w:rsid w:val="082E244F"/>
    <w:rsid w:val="08415C90"/>
    <w:rsid w:val="08485B98"/>
    <w:rsid w:val="09983B1D"/>
    <w:rsid w:val="0AFA5A96"/>
    <w:rsid w:val="0B6010B4"/>
    <w:rsid w:val="0B6902FF"/>
    <w:rsid w:val="0CD27FFC"/>
    <w:rsid w:val="0CF0521A"/>
    <w:rsid w:val="0D0F4ED6"/>
    <w:rsid w:val="0DAC4D70"/>
    <w:rsid w:val="0E677033"/>
    <w:rsid w:val="0E7F1957"/>
    <w:rsid w:val="0EA63619"/>
    <w:rsid w:val="0F977FCF"/>
    <w:rsid w:val="0F994434"/>
    <w:rsid w:val="109160DD"/>
    <w:rsid w:val="112278CE"/>
    <w:rsid w:val="113B16DB"/>
    <w:rsid w:val="115E4270"/>
    <w:rsid w:val="11606596"/>
    <w:rsid w:val="121865DB"/>
    <w:rsid w:val="131B0AE4"/>
    <w:rsid w:val="14E84654"/>
    <w:rsid w:val="151614F8"/>
    <w:rsid w:val="15200185"/>
    <w:rsid w:val="15304B56"/>
    <w:rsid w:val="15EA028F"/>
    <w:rsid w:val="16CA07EC"/>
    <w:rsid w:val="17122347"/>
    <w:rsid w:val="17F6222D"/>
    <w:rsid w:val="18461C09"/>
    <w:rsid w:val="189C1D14"/>
    <w:rsid w:val="1A6E41E8"/>
    <w:rsid w:val="1B266D2D"/>
    <w:rsid w:val="1B4D05AA"/>
    <w:rsid w:val="1BAC4722"/>
    <w:rsid w:val="1C281231"/>
    <w:rsid w:val="1C283C2C"/>
    <w:rsid w:val="1C400B38"/>
    <w:rsid w:val="1C88336B"/>
    <w:rsid w:val="1CB57848"/>
    <w:rsid w:val="1CBF41C4"/>
    <w:rsid w:val="1DA63635"/>
    <w:rsid w:val="1E0A001A"/>
    <w:rsid w:val="1E5F07E5"/>
    <w:rsid w:val="1E9B5F74"/>
    <w:rsid w:val="1EE91A2B"/>
    <w:rsid w:val="1F1D0593"/>
    <w:rsid w:val="1F2324A2"/>
    <w:rsid w:val="1F4802F5"/>
    <w:rsid w:val="1F8B2AE2"/>
    <w:rsid w:val="1FAE4192"/>
    <w:rsid w:val="1FDE786A"/>
    <w:rsid w:val="1FE401DF"/>
    <w:rsid w:val="209A3ACA"/>
    <w:rsid w:val="20A2053B"/>
    <w:rsid w:val="20D42641"/>
    <w:rsid w:val="20D54F08"/>
    <w:rsid w:val="20ED7DFF"/>
    <w:rsid w:val="22034BB2"/>
    <w:rsid w:val="22BC4191"/>
    <w:rsid w:val="22CA3482"/>
    <w:rsid w:val="247F6619"/>
    <w:rsid w:val="24F96C22"/>
    <w:rsid w:val="26463681"/>
    <w:rsid w:val="271909D4"/>
    <w:rsid w:val="27457A1B"/>
    <w:rsid w:val="28A10C81"/>
    <w:rsid w:val="28E15521"/>
    <w:rsid w:val="294E7E06"/>
    <w:rsid w:val="29A7364C"/>
    <w:rsid w:val="29F86353"/>
    <w:rsid w:val="2A09060E"/>
    <w:rsid w:val="2A092A55"/>
    <w:rsid w:val="2A5211A7"/>
    <w:rsid w:val="2AAD6003"/>
    <w:rsid w:val="2B970CE2"/>
    <w:rsid w:val="2BD0497A"/>
    <w:rsid w:val="2BF11E95"/>
    <w:rsid w:val="2BFC0981"/>
    <w:rsid w:val="2C1354E0"/>
    <w:rsid w:val="2CCC357C"/>
    <w:rsid w:val="2D7C46D0"/>
    <w:rsid w:val="2F1239C7"/>
    <w:rsid w:val="2F5D26AF"/>
    <w:rsid w:val="2FB70420"/>
    <w:rsid w:val="31B9528D"/>
    <w:rsid w:val="32B819E9"/>
    <w:rsid w:val="32C77752"/>
    <w:rsid w:val="32CD2AF9"/>
    <w:rsid w:val="32DD31FD"/>
    <w:rsid w:val="32E80129"/>
    <w:rsid w:val="33D16649"/>
    <w:rsid w:val="3410163B"/>
    <w:rsid w:val="352C0BF7"/>
    <w:rsid w:val="35AC6B2A"/>
    <w:rsid w:val="35CD57AB"/>
    <w:rsid w:val="35DF103A"/>
    <w:rsid w:val="3609706D"/>
    <w:rsid w:val="364C125A"/>
    <w:rsid w:val="36F100CE"/>
    <w:rsid w:val="37164E99"/>
    <w:rsid w:val="3746771F"/>
    <w:rsid w:val="3839273F"/>
    <w:rsid w:val="39202673"/>
    <w:rsid w:val="3A83468A"/>
    <w:rsid w:val="3B091F0D"/>
    <w:rsid w:val="3B253993"/>
    <w:rsid w:val="3B8A7AB4"/>
    <w:rsid w:val="3BB07701"/>
    <w:rsid w:val="3BE1743B"/>
    <w:rsid w:val="3BF758E5"/>
    <w:rsid w:val="3C1D522E"/>
    <w:rsid w:val="3C4D4EB8"/>
    <w:rsid w:val="3C693B9A"/>
    <w:rsid w:val="3CA72659"/>
    <w:rsid w:val="3E6946D7"/>
    <w:rsid w:val="3F3026AC"/>
    <w:rsid w:val="3FDC7247"/>
    <w:rsid w:val="40F37FB8"/>
    <w:rsid w:val="421016D5"/>
    <w:rsid w:val="42415F57"/>
    <w:rsid w:val="42A96C58"/>
    <w:rsid w:val="43C30064"/>
    <w:rsid w:val="43CA50F1"/>
    <w:rsid w:val="444F0625"/>
    <w:rsid w:val="45392515"/>
    <w:rsid w:val="458A40C2"/>
    <w:rsid w:val="45BE1E11"/>
    <w:rsid w:val="45E253AB"/>
    <w:rsid w:val="45E878B3"/>
    <w:rsid w:val="45EA0429"/>
    <w:rsid w:val="468E4AE3"/>
    <w:rsid w:val="46BF7F1F"/>
    <w:rsid w:val="46D1677D"/>
    <w:rsid w:val="46FB0382"/>
    <w:rsid w:val="472C4F7A"/>
    <w:rsid w:val="478661AE"/>
    <w:rsid w:val="47EB6865"/>
    <w:rsid w:val="49284D7B"/>
    <w:rsid w:val="497C50C6"/>
    <w:rsid w:val="49E05655"/>
    <w:rsid w:val="49EF479F"/>
    <w:rsid w:val="4A6C52C1"/>
    <w:rsid w:val="4B903377"/>
    <w:rsid w:val="4BB548C0"/>
    <w:rsid w:val="4BC43E4C"/>
    <w:rsid w:val="4C2C6594"/>
    <w:rsid w:val="4C7D185E"/>
    <w:rsid w:val="4C924A79"/>
    <w:rsid w:val="4DE85C7A"/>
    <w:rsid w:val="4DF96CE5"/>
    <w:rsid w:val="4E717B05"/>
    <w:rsid w:val="4E81291C"/>
    <w:rsid w:val="4F4127A9"/>
    <w:rsid w:val="4FAD422B"/>
    <w:rsid w:val="4FC7696F"/>
    <w:rsid w:val="50165E6F"/>
    <w:rsid w:val="50277BC9"/>
    <w:rsid w:val="50D15CF8"/>
    <w:rsid w:val="51066F16"/>
    <w:rsid w:val="51AE40DC"/>
    <w:rsid w:val="52126D39"/>
    <w:rsid w:val="52992845"/>
    <w:rsid w:val="52B14033"/>
    <w:rsid w:val="531C155C"/>
    <w:rsid w:val="53455021"/>
    <w:rsid w:val="5367649F"/>
    <w:rsid w:val="538A508B"/>
    <w:rsid w:val="5422686A"/>
    <w:rsid w:val="547B2141"/>
    <w:rsid w:val="54B75204"/>
    <w:rsid w:val="550E0B38"/>
    <w:rsid w:val="55356E1A"/>
    <w:rsid w:val="55F54236"/>
    <w:rsid w:val="568E6439"/>
    <w:rsid w:val="56B23F9C"/>
    <w:rsid w:val="56B93C5A"/>
    <w:rsid w:val="572A6162"/>
    <w:rsid w:val="573963A5"/>
    <w:rsid w:val="575256B8"/>
    <w:rsid w:val="578E0FAB"/>
    <w:rsid w:val="57A852D8"/>
    <w:rsid w:val="58276B45"/>
    <w:rsid w:val="58360F93"/>
    <w:rsid w:val="58BA1F78"/>
    <w:rsid w:val="599D70BF"/>
    <w:rsid w:val="5AA9706F"/>
    <w:rsid w:val="5AAD383C"/>
    <w:rsid w:val="5B505E97"/>
    <w:rsid w:val="5D627046"/>
    <w:rsid w:val="5DCB4FC2"/>
    <w:rsid w:val="5DD8138D"/>
    <w:rsid w:val="5DEF0CB7"/>
    <w:rsid w:val="5E435D5B"/>
    <w:rsid w:val="5E940365"/>
    <w:rsid w:val="5EBF7E2B"/>
    <w:rsid w:val="5F9B0133"/>
    <w:rsid w:val="60992EDF"/>
    <w:rsid w:val="60E75FA3"/>
    <w:rsid w:val="611E7ED2"/>
    <w:rsid w:val="617A7CE6"/>
    <w:rsid w:val="61840B64"/>
    <w:rsid w:val="62892A63"/>
    <w:rsid w:val="64633872"/>
    <w:rsid w:val="64A01811"/>
    <w:rsid w:val="659F01D8"/>
    <w:rsid w:val="66350708"/>
    <w:rsid w:val="6686620A"/>
    <w:rsid w:val="67FC1454"/>
    <w:rsid w:val="68871E97"/>
    <w:rsid w:val="68B977C1"/>
    <w:rsid w:val="692844CB"/>
    <w:rsid w:val="695E1C9B"/>
    <w:rsid w:val="69E4351C"/>
    <w:rsid w:val="6A4F2F1A"/>
    <w:rsid w:val="6A933BC6"/>
    <w:rsid w:val="6ABE0C43"/>
    <w:rsid w:val="6ACA37D9"/>
    <w:rsid w:val="6B2D1F53"/>
    <w:rsid w:val="6B2E2BC2"/>
    <w:rsid w:val="6B8A20A2"/>
    <w:rsid w:val="6B8C2459"/>
    <w:rsid w:val="6BB8153D"/>
    <w:rsid w:val="6BDF60AB"/>
    <w:rsid w:val="6C010D36"/>
    <w:rsid w:val="6C320399"/>
    <w:rsid w:val="6C495117"/>
    <w:rsid w:val="6C755241"/>
    <w:rsid w:val="6C7C7008"/>
    <w:rsid w:val="6D50327E"/>
    <w:rsid w:val="6E6D5AB6"/>
    <w:rsid w:val="6F2C102A"/>
    <w:rsid w:val="6F514ADE"/>
    <w:rsid w:val="6F833AC6"/>
    <w:rsid w:val="6FA74BB9"/>
    <w:rsid w:val="6FD902CD"/>
    <w:rsid w:val="713951B9"/>
    <w:rsid w:val="71593422"/>
    <w:rsid w:val="71970440"/>
    <w:rsid w:val="72B059E8"/>
    <w:rsid w:val="72BE0D48"/>
    <w:rsid w:val="732C647B"/>
    <w:rsid w:val="7353202C"/>
    <w:rsid w:val="73F33B70"/>
    <w:rsid w:val="7466395C"/>
    <w:rsid w:val="749B3DA3"/>
    <w:rsid w:val="74F117E3"/>
    <w:rsid w:val="7512436E"/>
    <w:rsid w:val="75D27A87"/>
    <w:rsid w:val="76481D09"/>
    <w:rsid w:val="764A5A81"/>
    <w:rsid w:val="76F43665"/>
    <w:rsid w:val="770737D2"/>
    <w:rsid w:val="783667B4"/>
    <w:rsid w:val="79660E24"/>
    <w:rsid w:val="7A1B6C1E"/>
    <w:rsid w:val="7A351B2A"/>
    <w:rsid w:val="7AA02113"/>
    <w:rsid w:val="7AB7598A"/>
    <w:rsid w:val="7B5B4760"/>
    <w:rsid w:val="7BF8252E"/>
    <w:rsid w:val="7C3F13C0"/>
    <w:rsid w:val="7C754515"/>
    <w:rsid w:val="7D080444"/>
    <w:rsid w:val="7D8D4B15"/>
    <w:rsid w:val="7E0D277C"/>
    <w:rsid w:val="7E580D51"/>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3"/>
    <w:autoRedefine/>
    <w:qFormat/>
    <w:uiPriority w:val="0"/>
    <w:pPr>
      <w:keepNext/>
      <w:keepLines/>
      <w:spacing w:before="260" w:after="260" w:line="416" w:lineRule="auto"/>
      <w:outlineLvl w:val="2"/>
    </w:pPr>
    <w:rPr>
      <w:b/>
      <w:bCs/>
      <w:sz w:val="32"/>
      <w:szCs w:val="32"/>
    </w:rPr>
  </w:style>
  <w:style w:type="character" w:default="1" w:styleId="25">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spacing w:line="360" w:lineRule="auto"/>
      <w:ind w:firstLine="420"/>
      <w:jc w:val="left"/>
    </w:pPr>
    <w:rPr>
      <w:rFonts w:ascii="宋体" w:hAnsi="宋体"/>
      <w:kern w:val="0"/>
      <w:szCs w:val="20"/>
    </w:rPr>
  </w:style>
  <w:style w:type="paragraph" w:styleId="6">
    <w:name w:val="annotation text"/>
    <w:basedOn w:val="1"/>
    <w:link w:val="59"/>
    <w:autoRedefine/>
    <w:qFormat/>
    <w:uiPriority w:val="0"/>
    <w:pPr>
      <w:jc w:val="left"/>
    </w:pPr>
    <w:rPr>
      <w:rFonts w:ascii="Times New Roman" w:hAnsi="Times New Roman"/>
    </w:rPr>
  </w:style>
  <w:style w:type="paragraph" w:styleId="7">
    <w:name w:val="Body Text"/>
    <w:basedOn w:val="1"/>
    <w:next w:val="8"/>
    <w:link w:val="52"/>
    <w:autoRedefine/>
    <w:qFormat/>
    <w:uiPriority w:val="0"/>
    <w:pPr>
      <w:spacing w:after="120"/>
    </w:pPr>
    <w:rPr>
      <w:rFonts w:ascii="Times New Roman" w:hAnsi="Times New Roman"/>
    </w:rPr>
  </w:style>
  <w:style w:type="paragraph" w:styleId="8">
    <w:name w:val="Quote"/>
    <w:basedOn w:val="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9">
    <w:name w:val="Body Text Indent"/>
    <w:basedOn w:val="1"/>
    <w:link w:val="53"/>
    <w:autoRedefine/>
    <w:qFormat/>
    <w:uiPriority w:val="0"/>
    <w:pPr>
      <w:spacing w:after="120"/>
      <w:ind w:left="420" w:leftChars="200"/>
    </w:pPr>
    <w:rPr>
      <w:rFonts w:ascii="Times New Roman" w:hAnsi="Times New Roman"/>
    </w:rPr>
  </w:style>
  <w:style w:type="paragraph" w:styleId="10">
    <w:name w:val="toc 3"/>
    <w:basedOn w:val="1"/>
    <w:next w:val="1"/>
    <w:autoRedefine/>
    <w:qFormat/>
    <w:uiPriority w:val="39"/>
    <w:pPr>
      <w:ind w:left="840" w:leftChars="400"/>
    </w:pPr>
  </w:style>
  <w:style w:type="paragraph" w:styleId="11">
    <w:name w:val="Plain Text"/>
    <w:basedOn w:val="1"/>
    <w:link w:val="69"/>
    <w:autoRedefine/>
    <w:qFormat/>
    <w:uiPriority w:val="0"/>
    <w:rPr>
      <w:rFonts w:ascii="宋体" w:hAnsi="Courier New" w:cs="Courier New"/>
      <w:szCs w:val="21"/>
    </w:rPr>
  </w:style>
  <w:style w:type="paragraph" w:styleId="12">
    <w:name w:val="Date"/>
    <w:basedOn w:val="1"/>
    <w:next w:val="1"/>
    <w:link w:val="58"/>
    <w:autoRedefine/>
    <w:qFormat/>
    <w:uiPriority w:val="0"/>
    <w:pPr>
      <w:ind w:left="100" w:leftChars="2500"/>
    </w:pPr>
    <w:rPr>
      <w:rFonts w:ascii="Times New Roman" w:hAnsi="Times New Roman"/>
    </w:rPr>
  </w:style>
  <w:style w:type="paragraph" w:styleId="13">
    <w:name w:val="Body Text Indent 2"/>
    <w:basedOn w:val="1"/>
    <w:link w:val="57"/>
    <w:autoRedefine/>
    <w:qFormat/>
    <w:uiPriority w:val="0"/>
    <w:pPr>
      <w:spacing w:after="120" w:line="480" w:lineRule="auto"/>
      <w:ind w:left="420" w:leftChars="200"/>
    </w:pPr>
  </w:style>
  <w:style w:type="paragraph" w:styleId="14">
    <w:name w:val="Balloon Text"/>
    <w:basedOn w:val="1"/>
    <w:link w:val="68"/>
    <w:autoRedefine/>
    <w:qFormat/>
    <w:uiPriority w:val="0"/>
    <w:rPr>
      <w:rFonts w:ascii="Times New Roman" w:hAnsi="Times New Roman"/>
      <w:sz w:val="18"/>
      <w:szCs w:val="18"/>
    </w:rPr>
  </w:style>
  <w:style w:type="paragraph" w:styleId="15">
    <w:name w:val="footer"/>
    <w:basedOn w:val="1"/>
    <w:link w:val="67"/>
    <w:autoRedefine/>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71"/>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autoRedefine/>
    <w:qFormat/>
    <w:uiPriority w:val="39"/>
    <w:pPr>
      <w:tabs>
        <w:tab w:val="left" w:pos="510"/>
        <w:tab w:val="right" w:leader="dot" w:pos="8296"/>
      </w:tabs>
      <w:spacing w:line="360" w:lineRule="auto"/>
    </w:pPr>
  </w:style>
  <w:style w:type="paragraph" w:styleId="18">
    <w:name w:val="toc 2"/>
    <w:basedOn w:val="1"/>
    <w:next w:val="1"/>
    <w:autoRedefine/>
    <w:qFormat/>
    <w:uiPriority w:val="39"/>
    <w:pPr>
      <w:tabs>
        <w:tab w:val="right" w:leader="dot" w:pos="8296"/>
      </w:tabs>
      <w:ind w:left="420" w:leftChars="200"/>
    </w:pPr>
  </w:style>
  <w:style w:type="paragraph" w:styleId="1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link w:val="56"/>
    <w:qFormat/>
    <w:uiPriority w:val="0"/>
    <w:pPr>
      <w:spacing w:before="240" w:after="60"/>
      <w:jc w:val="center"/>
      <w:outlineLvl w:val="0"/>
    </w:pPr>
    <w:rPr>
      <w:rFonts w:ascii="Cambria" w:hAnsi="Cambria"/>
      <w:b/>
      <w:bCs/>
      <w:sz w:val="32"/>
      <w:szCs w:val="32"/>
    </w:rPr>
  </w:style>
  <w:style w:type="paragraph" w:styleId="21">
    <w:name w:val="annotation subject"/>
    <w:basedOn w:val="6"/>
    <w:next w:val="6"/>
    <w:link w:val="64"/>
    <w:qFormat/>
    <w:uiPriority w:val="0"/>
    <w:rPr>
      <w:b/>
      <w:bCs/>
    </w:rPr>
  </w:style>
  <w:style w:type="paragraph" w:styleId="22">
    <w:name w:val="Body Text First Indent"/>
    <w:basedOn w:val="7"/>
    <w:qFormat/>
    <w:uiPriority w:val="0"/>
    <w:pPr>
      <w:spacing w:after="120"/>
      <w:ind w:firstLine="420" w:firstLineChars="100"/>
    </w:pPr>
    <w:rPr>
      <w:rFonts w:ascii="Calibri" w:hAnsi="Calibri" w:eastAsia="宋体"/>
      <w:kern w:val="2"/>
      <w:sz w:val="21"/>
    </w:rPr>
  </w:style>
  <w:style w:type="paragraph" w:styleId="23">
    <w:name w:val="Body Text First Indent 2"/>
    <w:basedOn w:val="9"/>
    <w:autoRedefine/>
    <w:unhideWhenUsed/>
    <w:qFormat/>
    <w:uiPriority w:val="99"/>
    <w:pPr>
      <w:spacing w:after="0" w:line="360" w:lineRule="auto"/>
      <w:ind w:left="0" w:firstLine="420" w:firstLineChars="200"/>
    </w:pPr>
    <w:rPr>
      <w:rFonts w:eastAsia="仿宋_GB2312"/>
      <w:spacing w:val="15"/>
      <w:kern w:val="10"/>
      <w:sz w:val="24"/>
      <w:szCs w:val="24"/>
    </w:rPr>
  </w:style>
  <w:style w:type="character" w:styleId="26">
    <w:name w:val="Strong"/>
    <w:basedOn w:val="25"/>
    <w:autoRedefine/>
    <w:qFormat/>
    <w:uiPriority w:val="0"/>
    <w:rPr>
      <w:b/>
      <w:bCs/>
    </w:rPr>
  </w:style>
  <w:style w:type="character" w:styleId="27">
    <w:name w:val="page number"/>
    <w:basedOn w:val="25"/>
    <w:qFormat/>
    <w:uiPriority w:val="0"/>
  </w:style>
  <w:style w:type="character" w:styleId="28">
    <w:name w:val="FollowedHyperlink"/>
    <w:basedOn w:val="25"/>
    <w:qFormat/>
    <w:uiPriority w:val="0"/>
    <w:rPr>
      <w:color w:val="800080" w:themeColor="followedHyperlink"/>
      <w:u w:val="single"/>
      <w14:textFill>
        <w14:solidFill>
          <w14:schemeClr w14:val="folHlink"/>
        </w14:solidFill>
      </w14:textFill>
    </w:rPr>
  </w:style>
  <w:style w:type="character" w:styleId="29">
    <w:name w:val="Hyperlink"/>
    <w:autoRedefine/>
    <w:qFormat/>
    <w:uiPriority w:val="99"/>
    <w:rPr>
      <w:color w:val="0000FF"/>
      <w:u w:val="single"/>
    </w:rPr>
  </w:style>
  <w:style w:type="character" w:styleId="30">
    <w:name w:val="annotation reference"/>
    <w:autoRedefine/>
    <w:qFormat/>
    <w:uiPriority w:val="0"/>
    <w:rPr>
      <w:sz w:val="21"/>
      <w:szCs w:val="21"/>
    </w:rPr>
  </w:style>
  <w:style w:type="character" w:customStyle="1" w:styleId="31">
    <w:name w:val="标题 1 Char"/>
    <w:basedOn w:val="25"/>
    <w:link w:val="2"/>
    <w:qFormat/>
    <w:uiPriority w:val="0"/>
    <w:rPr>
      <w:rFonts w:ascii="Calibri" w:hAnsi="Calibri"/>
      <w:b/>
      <w:bCs/>
      <w:kern w:val="44"/>
      <w:sz w:val="44"/>
      <w:szCs w:val="44"/>
    </w:rPr>
  </w:style>
  <w:style w:type="character" w:customStyle="1" w:styleId="32">
    <w:name w:val="标题 2 Char"/>
    <w:basedOn w:val="25"/>
    <w:link w:val="3"/>
    <w:autoRedefine/>
    <w:qFormat/>
    <w:uiPriority w:val="0"/>
    <w:rPr>
      <w:rFonts w:ascii="Arial" w:hAnsi="Arial" w:eastAsia="黑体"/>
      <w:b/>
      <w:bCs/>
      <w:sz w:val="32"/>
      <w:szCs w:val="32"/>
    </w:rPr>
  </w:style>
  <w:style w:type="character" w:customStyle="1" w:styleId="33">
    <w:name w:val="标题 3 Char"/>
    <w:basedOn w:val="25"/>
    <w:link w:val="4"/>
    <w:autoRedefine/>
    <w:qFormat/>
    <w:uiPriority w:val="0"/>
    <w:rPr>
      <w:rFonts w:ascii="Calibri" w:hAnsi="Calibri"/>
      <w:b/>
      <w:bCs/>
      <w:kern w:val="2"/>
      <w:sz w:val="32"/>
      <w:szCs w:val="32"/>
    </w:rPr>
  </w:style>
  <w:style w:type="character" w:customStyle="1" w:styleId="34">
    <w:name w:val="批注框文本 Char"/>
    <w:link w:val="14"/>
    <w:qFormat/>
    <w:uiPriority w:val="0"/>
    <w:rPr>
      <w:kern w:val="2"/>
      <w:sz w:val="18"/>
      <w:szCs w:val="18"/>
    </w:rPr>
  </w:style>
  <w:style w:type="character" w:customStyle="1" w:styleId="35">
    <w:name w:val="纯文本 Char1"/>
    <w:autoRedefine/>
    <w:unhideWhenUsed/>
    <w:qFormat/>
    <w:uiPriority w:val="99"/>
    <w:rPr>
      <w:rFonts w:hint="eastAsia" w:ascii="宋体" w:hAnsi="Tms Rmn" w:eastAsia="宋体"/>
      <w:sz w:val="21"/>
      <w:lang w:val="en-US" w:eastAsia="zh-CN"/>
    </w:rPr>
  </w:style>
  <w:style w:type="character" w:customStyle="1" w:styleId="36">
    <w:name w:val="页眉 Char"/>
    <w:link w:val="16"/>
    <w:autoRedefine/>
    <w:qFormat/>
    <w:uiPriority w:val="0"/>
    <w:rPr>
      <w:kern w:val="2"/>
      <w:sz w:val="18"/>
      <w:szCs w:val="18"/>
    </w:rPr>
  </w:style>
  <w:style w:type="character" w:customStyle="1" w:styleId="37">
    <w:name w:val="正文文本缩进 Char"/>
    <w:link w:val="9"/>
    <w:autoRedefine/>
    <w:qFormat/>
    <w:uiPriority w:val="0"/>
    <w:rPr>
      <w:kern w:val="2"/>
      <w:sz w:val="21"/>
      <w:szCs w:val="24"/>
    </w:rPr>
  </w:style>
  <w:style w:type="character" w:customStyle="1" w:styleId="38">
    <w:name w:val="批注主题 Char"/>
    <w:link w:val="21"/>
    <w:qFormat/>
    <w:uiPriority w:val="0"/>
    <w:rPr>
      <w:b/>
      <w:bCs/>
      <w:kern w:val="2"/>
      <w:sz w:val="21"/>
      <w:szCs w:val="24"/>
    </w:rPr>
  </w:style>
  <w:style w:type="paragraph" w:customStyle="1" w:styleId="39">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0">
    <w:name w:val="apple-converted-space"/>
    <w:basedOn w:val="25"/>
    <w:qFormat/>
    <w:uiPriority w:val="0"/>
  </w:style>
  <w:style w:type="character" w:customStyle="1" w:styleId="41">
    <w:name w:val="纯文本 Char"/>
    <w:link w:val="11"/>
    <w:qFormat/>
    <w:locked/>
    <w:uiPriority w:val="0"/>
    <w:rPr>
      <w:rFonts w:ascii="宋体" w:hAnsi="Courier New" w:cs="Courier New"/>
      <w:kern w:val="2"/>
      <w:sz w:val="21"/>
      <w:szCs w:val="21"/>
    </w:rPr>
  </w:style>
  <w:style w:type="character" w:customStyle="1" w:styleId="42">
    <w:name w:val="日期 Char"/>
    <w:link w:val="12"/>
    <w:qFormat/>
    <w:uiPriority w:val="0"/>
    <w:rPr>
      <w:kern w:val="2"/>
      <w:sz w:val="21"/>
      <w:szCs w:val="24"/>
    </w:rPr>
  </w:style>
  <w:style w:type="character" w:customStyle="1" w:styleId="43">
    <w:name w:val="正文文本 Char"/>
    <w:link w:val="7"/>
    <w:qFormat/>
    <w:uiPriority w:val="0"/>
    <w:rPr>
      <w:kern w:val="2"/>
      <w:sz w:val="21"/>
      <w:szCs w:val="24"/>
    </w:rPr>
  </w:style>
  <w:style w:type="character" w:customStyle="1" w:styleId="44">
    <w:name w:val="标题 Char"/>
    <w:link w:val="20"/>
    <w:autoRedefine/>
    <w:qFormat/>
    <w:locked/>
    <w:uiPriority w:val="0"/>
    <w:rPr>
      <w:rFonts w:ascii="Cambria" w:hAnsi="Cambria"/>
      <w:b/>
      <w:bCs/>
      <w:kern w:val="2"/>
      <w:sz w:val="32"/>
      <w:szCs w:val="32"/>
    </w:rPr>
  </w:style>
  <w:style w:type="character" w:customStyle="1" w:styleId="45">
    <w:name w:val="正文首行缩进两字符 Char Char"/>
    <w:link w:val="46"/>
    <w:qFormat/>
    <w:locked/>
    <w:uiPriority w:val="99"/>
    <w:rPr>
      <w:kern w:val="2"/>
      <w:sz w:val="21"/>
    </w:rPr>
  </w:style>
  <w:style w:type="paragraph" w:customStyle="1" w:styleId="46">
    <w:name w:val="正文首行缩进两字符"/>
    <w:basedOn w:val="1"/>
    <w:link w:val="45"/>
    <w:qFormat/>
    <w:uiPriority w:val="99"/>
    <w:pPr>
      <w:spacing w:line="360" w:lineRule="auto"/>
      <w:ind w:firstLine="200" w:firstLineChars="200"/>
    </w:pPr>
    <w:rPr>
      <w:rFonts w:ascii="Times New Roman" w:hAnsi="Times New Roman"/>
      <w:szCs w:val="20"/>
    </w:rPr>
  </w:style>
  <w:style w:type="character" w:customStyle="1" w:styleId="47">
    <w:name w:val="批注文字 Char"/>
    <w:link w:val="6"/>
    <w:qFormat/>
    <w:uiPriority w:val="0"/>
    <w:rPr>
      <w:kern w:val="2"/>
      <w:sz w:val="21"/>
      <w:szCs w:val="24"/>
    </w:rPr>
  </w:style>
  <w:style w:type="character" w:customStyle="1" w:styleId="48">
    <w:name w:val="NormalCharacter"/>
    <w:qFormat/>
    <w:uiPriority w:val="0"/>
  </w:style>
  <w:style w:type="character" w:customStyle="1" w:styleId="49">
    <w:name w:val="页脚 Char"/>
    <w:link w:val="15"/>
    <w:qFormat/>
    <w:uiPriority w:val="99"/>
    <w:rPr>
      <w:kern w:val="2"/>
      <w:sz w:val="18"/>
      <w:szCs w:val="18"/>
    </w:rPr>
  </w:style>
  <w:style w:type="paragraph" w:customStyle="1" w:styleId="50">
    <w:name w:val="中等深浅网格 1 - 着色 21"/>
    <w:basedOn w:val="1"/>
    <w:qFormat/>
    <w:uiPriority w:val="34"/>
    <w:pPr>
      <w:ind w:firstLine="420" w:firstLineChars="200"/>
    </w:pPr>
    <w:rPr>
      <w:sz w:val="20"/>
      <w:szCs w:val="20"/>
    </w:rPr>
  </w:style>
  <w:style w:type="paragraph" w:customStyle="1" w:styleId="51">
    <w:name w:val="图表左对齐"/>
    <w:basedOn w:val="1"/>
    <w:qFormat/>
    <w:uiPriority w:val="0"/>
    <w:pPr>
      <w:widowControl/>
      <w:spacing w:line="360" w:lineRule="exact"/>
      <w:jc w:val="left"/>
    </w:pPr>
    <w:rPr>
      <w:spacing w:val="-10"/>
      <w:kern w:val="0"/>
      <w:sz w:val="24"/>
      <w:szCs w:val="28"/>
    </w:rPr>
  </w:style>
  <w:style w:type="character" w:customStyle="1" w:styleId="52">
    <w:name w:val="正文文本 Char1"/>
    <w:basedOn w:val="25"/>
    <w:link w:val="7"/>
    <w:qFormat/>
    <w:uiPriority w:val="0"/>
    <w:rPr>
      <w:rFonts w:ascii="Calibri" w:hAnsi="Calibri"/>
      <w:kern w:val="2"/>
      <w:sz w:val="21"/>
      <w:szCs w:val="24"/>
    </w:rPr>
  </w:style>
  <w:style w:type="character" w:customStyle="1" w:styleId="53">
    <w:name w:val="正文文本缩进 Char1"/>
    <w:basedOn w:val="25"/>
    <w:link w:val="9"/>
    <w:qFormat/>
    <w:uiPriority w:val="0"/>
    <w:rPr>
      <w:rFonts w:ascii="Calibri" w:hAnsi="Calibri"/>
      <w:kern w:val="2"/>
      <w:sz w:val="21"/>
      <w:szCs w:val="24"/>
    </w:rPr>
  </w:style>
  <w:style w:type="paragraph" w:styleId="54">
    <w:name w:val="List Paragraph"/>
    <w:basedOn w:val="1"/>
    <w:autoRedefine/>
    <w:qFormat/>
    <w:uiPriority w:val="34"/>
    <w:pPr>
      <w:ind w:firstLine="420" w:firstLineChars="200"/>
    </w:pPr>
  </w:style>
  <w:style w:type="paragraph" w:customStyle="1" w:styleId="5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6">
    <w:name w:val="标题 Char1"/>
    <w:basedOn w:val="25"/>
    <w:link w:val="20"/>
    <w:qFormat/>
    <w:uiPriority w:val="0"/>
    <w:rPr>
      <w:rFonts w:asciiTheme="majorHAnsi" w:hAnsiTheme="majorHAnsi" w:cstheme="majorBidi"/>
      <w:b/>
      <w:bCs/>
      <w:kern w:val="2"/>
      <w:sz w:val="32"/>
      <w:szCs w:val="32"/>
    </w:rPr>
  </w:style>
  <w:style w:type="character" w:customStyle="1" w:styleId="57">
    <w:name w:val="正文文本缩进 2 Char"/>
    <w:basedOn w:val="25"/>
    <w:link w:val="13"/>
    <w:qFormat/>
    <w:uiPriority w:val="0"/>
    <w:rPr>
      <w:rFonts w:ascii="Calibri" w:hAnsi="Calibri"/>
      <w:kern w:val="2"/>
      <w:sz w:val="21"/>
      <w:szCs w:val="24"/>
    </w:rPr>
  </w:style>
  <w:style w:type="character" w:customStyle="1" w:styleId="58">
    <w:name w:val="日期 Char1"/>
    <w:basedOn w:val="25"/>
    <w:link w:val="12"/>
    <w:qFormat/>
    <w:uiPriority w:val="0"/>
    <w:rPr>
      <w:rFonts w:ascii="Calibri" w:hAnsi="Calibri"/>
      <w:kern w:val="2"/>
      <w:sz w:val="21"/>
      <w:szCs w:val="24"/>
    </w:rPr>
  </w:style>
  <w:style w:type="character" w:customStyle="1" w:styleId="59">
    <w:name w:val="批注文字 Char1"/>
    <w:basedOn w:val="25"/>
    <w:link w:val="6"/>
    <w:qFormat/>
    <w:uiPriority w:val="0"/>
    <w:rPr>
      <w:rFonts w:ascii="Calibri" w:hAnsi="Calibri"/>
      <w:kern w:val="2"/>
      <w:sz w:val="21"/>
      <w:szCs w:val="24"/>
    </w:rPr>
  </w:style>
  <w:style w:type="paragraph" w:customStyle="1" w:styleId="60">
    <w:name w:val="样式 首行缩进:  2 字符"/>
    <w:basedOn w:val="1"/>
    <w:qFormat/>
    <w:uiPriority w:val="0"/>
    <w:pPr>
      <w:spacing w:line="400" w:lineRule="exact"/>
      <w:ind w:firstLine="200" w:firstLineChars="200"/>
    </w:pPr>
    <w:rPr>
      <w:rFonts w:cs="宋体"/>
      <w:sz w:val="24"/>
    </w:rPr>
  </w:style>
  <w:style w:type="paragraph" w:styleId="6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2">
    <w:name w:val="Char1 Char Char Char Char Char Char"/>
    <w:basedOn w:val="1"/>
    <w:qFormat/>
    <w:uiPriority w:val="0"/>
    <w:rPr>
      <w:rFonts w:ascii="Tahoma" w:hAnsi="Tahoma"/>
      <w:sz w:val="24"/>
      <w:szCs w:val="20"/>
    </w:rPr>
  </w:style>
  <w:style w:type="paragraph" w:customStyle="1" w:styleId="63">
    <w:name w:val="p0"/>
    <w:basedOn w:val="1"/>
    <w:qFormat/>
    <w:uiPriority w:val="99"/>
    <w:pPr>
      <w:widowControl/>
    </w:pPr>
    <w:rPr>
      <w:kern w:val="0"/>
      <w:szCs w:val="20"/>
    </w:rPr>
  </w:style>
  <w:style w:type="character" w:customStyle="1" w:styleId="64">
    <w:name w:val="批注主题 Char1"/>
    <w:basedOn w:val="59"/>
    <w:link w:val="21"/>
    <w:qFormat/>
    <w:uiPriority w:val="0"/>
    <w:rPr>
      <w:b/>
      <w:bCs/>
    </w:rPr>
  </w:style>
  <w:style w:type="paragraph" w:customStyle="1" w:styleId="65">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6">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7">
    <w:name w:val="页脚 Char1"/>
    <w:basedOn w:val="25"/>
    <w:link w:val="15"/>
    <w:qFormat/>
    <w:uiPriority w:val="0"/>
    <w:rPr>
      <w:rFonts w:ascii="Calibri" w:hAnsi="Calibri"/>
      <w:kern w:val="2"/>
      <w:sz w:val="18"/>
      <w:szCs w:val="18"/>
    </w:rPr>
  </w:style>
  <w:style w:type="character" w:customStyle="1" w:styleId="68">
    <w:name w:val="批注框文本 Char1"/>
    <w:basedOn w:val="25"/>
    <w:link w:val="14"/>
    <w:qFormat/>
    <w:uiPriority w:val="0"/>
    <w:rPr>
      <w:rFonts w:ascii="Calibri" w:hAnsi="Calibri"/>
      <w:kern w:val="2"/>
      <w:sz w:val="18"/>
      <w:szCs w:val="18"/>
    </w:rPr>
  </w:style>
  <w:style w:type="character" w:customStyle="1" w:styleId="69">
    <w:name w:val="纯文本 Char2"/>
    <w:basedOn w:val="25"/>
    <w:link w:val="11"/>
    <w:qFormat/>
    <w:uiPriority w:val="0"/>
    <w:rPr>
      <w:rFonts w:ascii="宋体" w:hAnsi="Courier New" w:cs="Courier New"/>
      <w:kern w:val="2"/>
      <w:sz w:val="21"/>
      <w:szCs w:val="21"/>
    </w:rPr>
  </w:style>
  <w:style w:type="paragraph" w:customStyle="1" w:styleId="70">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1">
    <w:name w:val="页眉 Char1"/>
    <w:basedOn w:val="25"/>
    <w:link w:val="16"/>
    <w:qFormat/>
    <w:uiPriority w:val="0"/>
    <w:rPr>
      <w:rFonts w:ascii="Calibri" w:hAnsi="Calibri"/>
      <w:kern w:val="2"/>
      <w:sz w:val="18"/>
      <w:szCs w:val="18"/>
    </w:rPr>
  </w:style>
  <w:style w:type="paragraph" w:customStyle="1" w:styleId="72">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3">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4">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5">
    <w:name w:val="列出段落1"/>
    <w:basedOn w:val="1"/>
    <w:qFormat/>
    <w:uiPriority w:val="0"/>
    <w:pPr>
      <w:ind w:firstLine="420" w:firstLineChars="200"/>
    </w:pPr>
    <w:rPr>
      <w:rFonts w:ascii="Calibri" w:hAnsi="Calibri"/>
      <w:szCs w:val="22"/>
    </w:rPr>
  </w:style>
  <w:style w:type="paragraph" w:customStyle="1" w:styleId="76">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7">
    <w:name w:val="表格"/>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8552</Words>
  <Characters>8889</Characters>
  <Lines>102</Lines>
  <Paragraphs>28</Paragraphs>
  <TotalTime>38</TotalTime>
  <ScaleCrop>false</ScaleCrop>
  <LinksUpToDate>false</LinksUpToDate>
  <CharactersWithSpaces>10469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LENOVO</cp:lastModifiedBy>
  <cp:lastPrinted>2023-11-29T03:10:00Z</cp:lastPrinted>
  <dcterms:modified xsi:type="dcterms:W3CDTF">2024-01-11T03:20:38Z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F43260EA7D044F58AE47754BF9C4C356</vt:lpwstr>
  </property>
</Properties>
</file>