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三台县人民医院</w:t>
      </w:r>
    </w:p>
    <w:p>
      <w:pPr>
        <w:widowControl/>
        <w:shd w:val="clear" w:color="auto" w:fill="FFFFFF"/>
        <w:spacing w:line="500" w:lineRule="exact"/>
        <w:jc w:val="center"/>
        <w:outlineLvl w:val="0"/>
        <w:rPr>
          <w:rFonts w:ascii="方正小标宋简体" w:hAnsi="方正小标宋简体" w:eastAsia="方正小标宋简体" w:cs="方正小标宋简体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val="en-US" w:eastAsia="zh-CN"/>
        </w:rPr>
        <w:t>区域急诊系统和急症中心建设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eastAsia="zh-CN"/>
        </w:rPr>
        <w:t>”、“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val="en-US" w:eastAsia="zh-CN"/>
        </w:rPr>
        <w:t>HIS系统升级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eastAsia="zh-CN"/>
        </w:rPr>
        <w:t>”、“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val="en-US" w:eastAsia="zh-CN"/>
        </w:rPr>
        <w:t>护理综合管理系统升级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eastAsia="zh-CN"/>
        </w:rPr>
        <w:t>”、“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val="en-US" w:eastAsia="zh-CN"/>
        </w:rPr>
        <w:t>手术麻醉系统升级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市场调研</w:t>
      </w:r>
    </w:p>
    <w:p>
      <w:pPr>
        <w:ind w:firstLine="420" w:firstLineChars="200"/>
        <w:rPr>
          <w:rFonts w:hint="eastAsia" w:asciiTheme="minorEastAsia" w:hAnsiTheme="minorEastAsia"/>
          <w:szCs w:val="21"/>
        </w:rPr>
      </w:pP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我院因工作需要，拟对</w:t>
      </w:r>
      <w:r>
        <w:rPr>
          <w:rFonts w:hint="eastAsia" w:asciiTheme="minorEastAsia" w:hAnsiTheme="minorEastAsia"/>
          <w:szCs w:val="21"/>
          <w:lang w:eastAsia="zh-CN"/>
        </w:rPr>
        <w:t>“</w:t>
      </w:r>
      <w:r>
        <w:rPr>
          <w:rFonts w:hint="eastAsia" w:asciiTheme="minorEastAsia" w:hAnsiTheme="minorEastAsia"/>
          <w:szCs w:val="21"/>
        </w:rPr>
        <w:t>数智化云签署平台</w:t>
      </w:r>
      <w:r>
        <w:rPr>
          <w:rFonts w:hint="eastAsia" w:asciiTheme="minorEastAsia" w:hAnsiTheme="minorEastAsia"/>
          <w:szCs w:val="21"/>
          <w:lang w:eastAsia="zh-CN"/>
        </w:rPr>
        <w:t>”、“采购管理系统”、“5G版PDA”</w:t>
      </w:r>
      <w:r>
        <w:rPr>
          <w:rFonts w:hint="eastAsia" w:asciiTheme="minorEastAsia" w:hAnsiTheme="minorEastAsia"/>
          <w:szCs w:val="21"/>
        </w:rPr>
        <w:t>等进行市场调研，欢迎各潜在供应商报名参加，本次市场调研要求如下：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>一、 项目清单及要求</w:t>
      </w:r>
    </w:p>
    <w:p>
      <w:pPr>
        <w:adjustRightInd w:val="0"/>
        <w:spacing w:line="300" w:lineRule="exact"/>
        <w:rPr>
          <w:rFonts w:asciiTheme="minorEastAsia" w:hAnsiTheme="minorEastAsia"/>
          <w:b/>
          <w:bCs/>
          <w:spacing w:val="8"/>
          <w:szCs w:val="21"/>
        </w:rPr>
      </w:pPr>
      <w:r>
        <w:rPr>
          <w:rFonts w:hint="eastAsia" w:asciiTheme="minorEastAsia" w:hAnsiTheme="minorEastAsia"/>
          <w:b/>
          <w:bCs/>
          <w:spacing w:val="8"/>
          <w:szCs w:val="21"/>
        </w:rPr>
        <w:t>1、项目名称、数量</w:t>
      </w:r>
    </w:p>
    <w:tbl>
      <w:tblPr>
        <w:tblStyle w:val="5"/>
        <w:tblW w:w="5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434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1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项目名称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区域急诊系统和急症中心建设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HIS系统升级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护理综合管理系统升级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手术麻醉系统升级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1 </w:t>
            </w:r>
          </w:p>
        </w:tc>
      </w:tr>
    </w:tbl>
    <w:p>
      <w:pPr>
        <w:rPr>
          <w:rFonts w:asciiTheme="minorEastAsia" w:hAnsiTheme="minorEastAsia"/>
          <w:b/>
          <w:bCs/>
          <w:spacing w:val="8"/>
          <w:szCs w:val="21"/>
        </w:rPr>
      </w:pPr>
    </w:p>
    <w:p>
      <w:pPr>
        <w:rPr>
          <w:rFonts w:asciiTheme="minorEastAsia" w:hAnsiTheme="minorEastAsia"/>
          <w:b/>
          <w:bCs/>
          <w:spacing w:val="8"/>
          <w:szCs w:val="21"/>
        </w:rPr>
      </w:pPr>
      <w:r>
        <w:rPr>
          <w:rFonts w:hint="eastAsia" w:asciiTheme="minorEastAsia" w:hAnsiTheme="minorEastAsia"/>
          <w:b/>
          <w:bCs/>
          <w:spacing w:val="8"/>
          <w:szCs w:val="21"/>
        </w:rPr>
        <w:t>2、参数</w:t>
      </w:r>
    </w:p>
    <w:tbl>
      <w:tblPr>
        <w:tblStyle w:val="5"/>
        <w:tblW w:w="8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434"/>
        <w:gridCol w:w="5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名称</w:t>
            </w:r>
          </w:p>
        </w:tc>
        <w:tc>
          <w:tcPr>
            <w:tcW w:w="5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区域急诊系统和急症中心建设</w:t>
            </w:r>
          </w:p>
        </w:tc>
        <w:tc>
          <w:tcPr>
            <w:tcW w:w="5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移动APP、院前管理系统、调度中心系统、协同中心系统、区域查询系统、区域统计分析等；胸痛、卒中、创伤、危重孕产妇、危重新生儿中心建设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HIS系统升级</w:t>
            </w:r>
          </w:p>
        </w:tc>
        <w:tc>
          <w:tcPr>
            <w:tcW w:w="5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一、病房医嘱处理：</w:t>
            </w:r>
          </w:p>
          <w:p>
            <w:pPr>
              <w:spacing w:line="320" w:lineRule="exact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（1）医嘱记录在医院中能统一管理，并统一展现</w:t>
            </w:r>
          </w:p>
          <w:p>
            <w:pPr>
              <w:spacing w:line="320" w:lineRule="exact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（2）有医师药疗医嘱下达权限控制，支持抗菌药物分级使用管理</w:t>
            </w:r>
          </w:p>
          <w:p>
            <w:pPr>
              <w:spacing w:line="320" w:lineRule="exact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（3）可依据诊断判断传染病情况，并通过系统上报医政管理部门</w:t>
            </w:r>
          </w:p>
          <w:p>
            <w:pPr>
              <w:spacing w:line="320" w:lineRule="exact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二、医嘱执行：</w:t>
            </w:r>
          </w:p>
          <w:p>
            <w:pPr>
              <w:spacing w:line="320" w:lineRule="exact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（1）在执行中实时产生记录</w:t>
            </w:r>
          </w:p>
          <w:p>
            <w:pPr>
              <w:spacing w:line="320" w:lineRule="exact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（2）全院统一管理医嘱、执行记录，构成统一电子病历内容</w:t>
            </w:r>
          </w:p>
          <w:p>
            <w:pPr>
              <w:spacing w:line="320" w:lineRule="exact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（3）新医嘱和医嘱变更可及时通知护士</w:t>
            </w:r>
          </w:p>
          <w:p>
            <w:pPr>
              <w:spacing w:line="320" w:lineRule="exact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三、处方书写：</w:t>
            </w:r>
          </w:p>
          <w:p>
            <w:pPr>
              <w:spacing w:line="320" w:lineRule="exact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（1）具有针对病人诊断、性别、历史处方、过敏史等进行合理用药、配伍禁忌、给药途径等综合自动检查功能并给出提示</w:t>
            </w:r>
          </w:p>
          <w:p>
            <w:pPr>
              <w:spacing w:line="320" w:lineRule="exact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（2）对高危药品使用给予警示</w:t>
            </w:r>
          </w:p>
          <w:p>
            <w:pPr>
              <w:spacing w:line="320" w:lineRule="exact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（3）支持医师处方开写权限控制</w:t>
            </w:r>
          </w:p>
          <w:p>
            <w:pPr>
              <w:spacing w:line="320" w:lineRule="exact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（4）可依据诊断判断传染病情况，并通过系统上报医政管理部门</w:t>
            </w:r>
          </w:p>
          <w:p>
            <w:pPr>
              <w:spacing w:line="320" w:lineRule="exact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四、门诊药品与调剂</w:t>
            </w:r>
          </w:p>
          <w:p>
            <w:pPr>
              <w:spacing w:line="320" w:lineRule="exact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（1）能从全院统一医疗记录中获得门诊处方记录</w:t>
            </w:r>
          </w:p>
          <w:p>
            <w:pPr>
              <w:spacing w:line="320" w:lineRule="exact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（2）有完善的药品使用核查处理功能</w:t>
            </w:r>
          </w:p>
          <w:p>
            <w:pPr>
              <w:spacing w:line="320" w:lineRule="exact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（3）有药品使用管理记录，支持药品分级管理</w:t>
            </w:r>
          </w:p>
          <w:p>
            <w:pPr>
              <w:spacing w:line="320" w:lineRule="exact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（4）能够实时进行药物之间、药物与诊断的检查</w:t>
            </w:r>
          </w:p>
          <w:p>
            <w:pPr>
              <w:spacing w:line="320" w:lineRule="exact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（5）具有处方评价抽查、记录工具，抽查发现的不合理用药能够记录</w:t>
            </w:r>
          </w:p>
          <w:p>
            <w:pPr>
              <w:spacing w:line="320" w:lineRule="exact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五、药品药房配置</w:t>
            </w:r>
          </w:p>
          <w:p>
            <w:pPr>
              <w:spacing w:line="320" w:lineRule="exact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（1）药品准备与发药记录纳入全院医疗记录体系</w:t>
            </w:r>
          </w:p>
          <w:p>
            <w:pPr>
              <w:spacing w:line="320" w:lineRule="exact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（2）可支持药品单品或单次包装并印刷条形码等机读核对标识</w:t>
            </w:r>
          </w:p>
          <w:p>
            <w:pPr>
              <w:spacing w:line="320" w:lineRule="exact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（3）具有对药物治疗医嘱进行抽查与进行处方评价记录工具，对发现的不合理用药能够记录；</w:t>
            </w:r>
          </w:p>
          <w:p>
            <w:pPr>
              <w:spacing w:line="320" w:lineRule="exact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六、医疗质量控制</w:t>
            </w:r>
          </w:p>
          <w:p>
            <w:pPr>
              <w:spacing w:line="320" w:lineRule="exact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（3）可从护理记录产生非计划性入ICU率指标等（重症医学专业医疗质量控制指标（2015年版）,11）</w:t>
            </w:r>
          </w:p>
          <w:p>
            <w:pPr>
              <w:spacing w:line="320" w:lineRule="exact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（4）可从科室医嘱记录中生成危重病人人次数（2013版三级医院评审细则7-2-3-5）</w:t>
            </w:r>
          </w:p>
          <w:p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（5）卫生统计上报报表指标，50%以上由系统自动生成；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护理综合管理系统升级</w:t>
            </w:r>
          </w:p>
        </w:tc>
        <w:tc>
          <w:tcPr>
            <w:tcW w:w="5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一、护理记录</w:t>
            </w:r>
          </w:p>
          <w:p>
            <w:pPr>
              <w:spacing w:line="320" w:lineRule="exact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（1）护理记录、体征记录数据在医院统一医疗数据管理体系中</w:t>
            </w:r>
          </w:p>
          <w:p>
            <w:pPr>
              <w:spacing w:line="320" w:lineRule="exact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（2）生命体征、护理处置可通过移动设备自动导入相应记录单（移动护理）</w:t>
            </w:r>
          </w:p>
          <w:p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（3）有护理计划模版，护理记录数据可依据护理计划产生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手术麻醉系统升级</w:t>
            </w:r>
          </w:p>
        </w:tc>
        <w:tc>
          <w:tcPr>
            <w:tcW w:w="5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一、手术预约与登记</w:t>
            </w:r>
          </w:p>
          <w:p>
            <w:pPr>
              <w:spacing w:line="320" w:lineRule="exact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（1）手术记录数据与手术安排衔接，成为医院统一医疗记录管理体系内容</w:t>
            </w:r>
          </w:p>
          <w:p>
            <w:pPr>
              <w:spacing w:line="320" w:lineRule="exact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（2）提供机读手段标识病人并提示部位、术式、麻醉方式的信息</w:t>
            </w:r>
          </w:p>
          <w:p>
            <w:pPr>
              <w:spacing w:line="320" w:lineRule="exact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（3）实现手术分级管理，具有针对手术医师的权限控制</w:t>
            </w:r>
          </w:p>
          <w:p>
            <w:pPr>
              <w:spacing w:line="320" w:lineRule="exact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二、麻醉信息：</w:t>
            </w:r>
          </w:p>
          <w:p>
            <w:pPr>
              <w:spacing w:line="320" w:lineRule="exact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（1）麻醉记录数据纳入医院整体医疗记录</w:t>
            </w:r>
          </w:p>
          <w:p>
            <w:pPr>
              <w:spacing w:line="320" w:lineRule="exact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（2）能够判断麻醉过程中出现的非正常监测参数，并在麻醉记录单和相关图表中显示</w:t>
            </w:r>
          </w:p>
          <w:p>
            <w:pPr>
              <w:spacing w:line="320" w:lineRule="exact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三、医疗质量控制（4级+5级）</w:t>
            </w:r>
          </w:p>
          <w:p>
            <w:pPr>
              <w:spacing w:line="320" w:lineRule="exact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（1）能够从系统中产生麻醉例数、麻醉分级管理例数指标（2013版三级医院评审细则7-2-2-3）</w:t>
            </w:r>
          </w:p>
          <w:p>
            <w:pPr>
              <w:spacing w:line="320" w:lineRule="exact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（2）可从麻醉系统中获得各ASA分级麻醉病人比例指标（2015版麻醉专业医疗质控指标2）</w:t>
            </w:r>
          </w:p>
          <w:p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（2）可从系统中产生麻醉相关质控指标3、4、5、6（2015版麻醉专业医疗质控指标3、4、5、6）</w:t>
            </w:r>
          </w:p>
        </w:tc>
      </w:tr>
    </w:tbl>
    <w:p>
      <w:pPr>
        <w:rPr>
          <w:rFonts w:asciiTheme="minorEastAsia" w:hAnsiTheme="minorEastAsia"/>
          <w:b/>
          <w:bCs/>
          <w:spacing w:val="8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 xml:space="preserve"> </w:t>
      </w:r>
      <w:r>
        <w:rPr>
          <w:rFonts w:asciiTheme="minorEastAsia" w:hAnsiTheme="minorEastAsia"/>
          <w:b/>
          <w:szCs w:val="21"/>
        </w:rPr>
        <w:t xml:space="preserve">  </w:t>
      </w:r>
    </w:p>
    <w:p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二、供应商资格要求简要说明：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1. 具备独立承担民事责任的能力；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2. 在中国境内注册并且有独立法人资格的企业；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3. 具有良好的商业信誉和健全的财务会计制度；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4. 具有履行合同所必须的设备和专业技术能力；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5. 参加本次采购活动前三年内，在经营活动中没有重大违法记录；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6. 本项目不接受联合体投标。</w:t>
      </w:r>
    </w:p>
    <w:p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三、供应商应递交的资料</w:t>
      </w:r>
    </w:p>
    <w:p>
      <w:pPr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</w:rPr>
        <w:t>1、承诺函；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附件1</w:t>
      </w:r>
      <w:r>
        <w:rPr>
          <w:rFonts w:hint="eastAsia" w:asciiTheme="minorEastAsia" w:hAnsiTheme="minorEastAsia"/>
          <w:szCs w:val="21"/>
          <w:lang w:eastAsia="zh-CN"/>
        </w:rPr>
        <w:t>）</w:t>
      </w:r>
    </w:p>
    <w:p>
      <w:pPr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/>
          <w:szCs w:val="21"/>
        </w:rPr>
        <w:t>2、授权委托书；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附件2</w:t>
      </w:r>
      <w:r>
        <w:rPr>
          <w:rFonts w:hint="eastAsia" w:asciiTheme="minorEastAsia" w:hAnsiTheme="minorEastAsia"/>
          <w:szCs w:val="21"/>
          <w:lang w:eastAsia="zh-CN"/>
        </w:rPr>
        <w:t>）</w:t>
      </w:r>
    </w:p>
    <w:p>
      <w:pPr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/>
          <w:szCs w:val="21"/>
        </w:rPr>
        <w:t>3、报价单；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附件3</w:t>
      </w:r>
      <w:r>
        <w:rPr>
          <w:rFonts w:hint="eastAsia" w:asciiTheme="minorEastAsia" w:hAnsiTheme="minorEastAsia"/>
          <w:szCs w:val="21"/>
          <w:lang w:eastAsia="zh-CN"/>
        </w:rPr>
        <w:t>）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4、法人和被授权人员身份证复印件；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5、公司及人员资质证明文件；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6、类似服务应用的业绩；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7、提供具体方案（包含硬件品牌、型号、参数</w:t>
      </w:r>
      <w:r>
        <w:rPr>
          <w:rFonts w:hint="eastAsia" w:asciiTheme="minorEastAsia" w:hAnsiTheme="minorEastAsia"/>
          <w:szCs w:val="21"/>
          <w:lang w:val="en-US" w:eastAsia="zh-CN"/>
        </w:rPr>
        <w:t>和技术服务参数</w:t>
      </w:r>
      <w:r>
        <w:rPr>
          <w:rFonts w:hint="eastAsia" w:asciiTheme="minorEastAsia" w:hAnsiTheme="minorEastAsia"/>
          <w:szCs w:val="21"/>
        </w:rPr>
        <w:t>等）。</w:t>
      </w:r>
    </w:p>
    <w:p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四、报名要求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按要求填写资料 (请于文末下载附件模板)。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电子版资料：将技术参数(Word版资料)发送至电子邮箱</w:t>
      </w:r>
      <w:r>
        <w:rPr>
          <w:rFonts w:hint="eastAsia" w:asciiTheme="minorEastAsia" w:hAnsiTheme="minorEastAsia"/>
          <w:szCs w:val="21"/>
          <w:lang w:val="en-US" w:eastAsia="zh-CN"/>
        </w:rPr>
        <w:t>447996591</w:t>
      </w:r>
      <w:r>
        <w:rPr>
          <w:rFonts w:hint="eastAsia" w:asciiTheme="minorEastAsia" w:hAnsiTheme="minorEastAsia"/>
          <w:szCs w:val="21"/>
        </w:rPr>
        <w:t>＠qq.com。</w:t>
      </w:r>
    </w:p>
    <w:p>
      <w:pPr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纸质资料：将资料按照第三条要求顺序排列并装入抽杆文件夹，勿须编页码,加盖公司鲜章后邮寄至医院。未按照以上要求提供资料视为无效。</w:t>
      </w:r>
    </w:p>
    <w:p>
      <w:pPr>
        <w:rPr>
          <w:rFonts w:hint="eastAsia" w:asciiTheme="minorEastAsia" w:hAnsiTheme="minorEastAsia"/>
          <w:b/>
          <w:szCs w:val="21"/>
          <w:lang w:val="en-US" w:eastAsia="zh-CN"/>
        </w:rPr>
      </w:pPr>
      <w:r>
        <w:rPr>
          <w:rFonts w:hint="eastAsia" w:asciiTheme="minorEastAsia" w:hAnsiTheme="minorEastAsia"/>
          <w:b/>
          <w:szCs w:val="21"/>
          <w:lang w:val="en-US" w:eastAsia="zh-CN"/>
        </w:rPr>
        <w:t>五、调研安排</w:t>
      </w:r>
    </w:p>
    <w:p>
      <w:pP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/>
          <w:szCs w:val="21"/>
          <w:lang w:val="en-US" w:eastAsia="zh-CN"/>
        </w:rPr>
        <w:t>截止日期后医院将根据具体情况及时开展调研工作，请保持预留通讯畅通，否则视为放弃本次调研。</w:t>
      </w:r>
    </w:p>
    <w:p>
      <w:pPr>
        <w:rPr>
          <w:rFonts w:hint="eastAsia"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三台县人民医院信息管理科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202</w:t>
      </w:r>
      <w:r>
        <w:rPr>
          <w:rFonts w:asciiTheme="minorEastAsia" w:hAnsiTheme="minorEastAsia"/>
          <w:szCs w:val="21"/>
        </w:rPr>
        <w:t>4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01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日</w:t>
      </w:r>
    </w:p>
    <w:p>
      <w:pPr>
        <w:jc w:val="righ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</w:rPr>
        <w:t>咨询联系人及电话：</w:t>
      </w:r>
      <w:r>
        <w:rPr>
          <w:rFonts w:hint="eastAsia" w:asciiTheme="minorEastAsia" w:hAnsiTheme="minorEastAsia"/>
          <w:szCs w:val="21"/>
          <w:lang w:val="en-US" w:eastAsia="zh-CN"/>
        </w:rPr>
        <w:t>吴</w:t>
      </w:r>
      <w:r>
        <w:rPr>
          <w:rFonts w:hint="eastAsia" w:asciiTheme="minorEastAsia" w:hAnsiTheme="minorEastAsia"/>
          <w:szCs w:val="21"/>
        </w:rPr>
        <w:t>老师</w:t>
      </w:r>
      <w:r>
        <w:rPr>
          <w:rFonts w:hint="eastAsia" w:asciiTheme="minorEastAsia" w:hAnsiTheme="minorEastAsia"/>
          <w:szCs w:val="21"/>
          <w:lang w:val="en-US" w:eastAsia="zh-CN"/>
        </w:rPr>
        <w:t>13547147144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接受咨询时间：法定工作日8:00-12:00， 14:30-18:00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快递地址、联系人及电话：绵阳市三台县人民医院信息管理科，</w:t>
      </w:r>
      <w:r>
        <w:rPr>
          <w:rFonts w:hint="eastAsia" w:asciiTheme="minorEastAsia" w:hAnsiTheme="minorEastAsia"/>
          <w:szCs w:val="21"/>
          <w:lang w:val="en-US" w:eastAsia="zh-CN"/>
        </w:rPr>
        <w:t>吴</w:t>
      </w:r>
      <w:r>
        <w:rPr>
          <w:rFonts w:hint="eastAsia" w:asciiTheme="minorEastAsia" w:hAnsiTheme="minorEastAsia"/>
          <w:szCs w:val="21"/>
        </w:rPr>
        <w:t>老师</w:t>
      </w:r>
      <w:r>
        <w:rPr>
          <w:rFonts w:hint="eastAsia" w:asciiTheme="minorEastAsia" w:hAnsiTheme="minorEastAsia"/>
          <w:szCs w:val="21"/>
          <w:lang w:val="en-US" w:eastAsia="zh-CN"/>
        </w:rPr>
        <w:t>13547147144</w:t>
      </w:r>
      <w:r>
        <w:rPr>
          <w:rFonts w:hint="eastAsia" w:asciiTheme="minorEastAsia" w:hAnsiTheme="minorEastAsia"/>
          <w:szCs w:val="21"/>
        </w:rPr>
        <w:t>。</w:t>
      </w:r>
    </w:p>
    <w:p>
      <w:pPr>
        <w:jc w:val="righ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接收资料截止日期： 202</w:t>
      </w:r>
      <w:r>
        <w:rPr>
          <w:rFonts w:asciiTheme="minorEastAsia" w:hAnsiTheme="minorEastAsia"/>
          <w:szCs w:val="21"/>
        </w:rPr>
        <w:t>4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0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日17:30（北京时间）。</w:t>
      </w: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pStyle w:val="2"/>
        <w:spacing w:after="0"/>
        <w:rPr>
          <w:rFonts w:ascii="黑体" w:eastAsia="黑体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1</w:t>
      </w:r>
      <w:r>
        <w:rPr>
          <w:rFonts w:hint="eastAsia" w:ascii="黑体" w:eastAsia="黑体"/>
        </w:rPr>
        <w:t>:</w:t>
      </w: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承  诺</w:t>
      </w:r>
      <w:r>
        <w:rPr>
          <w:rFonts w:ascii="宋体" w:hAnsi="宋体"/>
          <w:b/>
          <w:sz w:val="32"/>
        </w:rPr>
        <w:t xml:space="preserve">   </w:t>
      </w:r>
      <w:r>
        <w:rPr>
          <w:rFonts w:hint="eastAsia" w:ascii="宋体" w:hAnsi="宋体"/>
          <w:b/>
          <w:sz w:val="32"/>
        </w:rPr>
        <w:t>函</w:t>
      </w:r>
    </w:p>
    <w:p>
      <w:pPr>
        <w:pStyle w:val="2"/>
        <w:spacing w:after="0" w:line="460" w:lineRule="exact"/>
        <w:rPr>
          <w:sz w:val="18"/>
        </w:rPr>
      </w:pPr>
      <w:r>
        <w:rPr>
          <w:rFonts w:hint="eastAsia"/>
          <w:sz w:val="24"/>
        </w:rPr>
        <w:t>三台县人民医院：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项目的市场调研及报价。为此，我方郑重声明以下内容，并负法律责任。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、如果我方的报名文件被接受，我方将履行报名文件中规定的每一项要求，并按我方的承诺按期、保质、保量提供货物。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、我方理解，最低报价不是比选的唯一条件，贵院有选择性价比高的产品的权利。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、我方愿按《中华人民共和国合同法》履行自己的全部责任。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、我方同意遵守贵院有关市场调研的各项规定。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公司名称（公章）: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授权代表签字：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pStyle w:val="2"/>
        <w:spacing w:after="0"/>
        <w:rPr>
          <w:rFonts w:eastAsia="黑体"/>
        </w:rPr>
      </w:pPr>
      <w:r>
        <w:rPr>
          <w:rFonts w:hint="eastAsia" w:eastAsia="黑体"/>
        </w:rPr>
        <w:t>附件</w:t>
      </w:r>
      <w:r>
        <w:rPr>
          <w:rFonts w:hint="eastAsia" w:eastAsia="黑体"/>
          <w:lang w:val="en-US" w:eastAsia="zh-CN"/>
        </w:rPr>
        <w:t>2</w:t>
      </w:r>
      <w:r>
        <w:rPr>
          <w:rFonts w:hint="eastAsia" w:eastAsia="黑体"/>
        </w:rPr>
        <w:t>：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>
      <w:pPr>
        <w:pStyle w:val="2"/>
        <w:spacing w:after="0" w:line="460" w:lineRule="exact"/>
        <w:jc w:val="center"/>
        <w:rPr>
          <w:b/>
          <w:sz w:val="32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三台县人民医院：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firstLine="480"/>
        <w:rPr>
          <w:sz w:val="24"/>
        </w:rPr>
      </w:pPr>
      <w:r>
        <w:rPr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>（报名公司名称）法定代表人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授权我公司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（职务或职称）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（姓名）为我单位本次报名授权代理人，全权处理此次</w:t>
      </w:r>
      <w:r>
        <w:rPr>
          <w:rFonts w:hint="eastAsia" w:ascii="宋体" w:hAnsi="宋体"/>
          <w:sz w:val="24"/>
        </w:rPr>
        <w:t>（医院名称）</w:t>
      </w:r>
      <w:r>
        <w:rPr>
          <w:rFonts w:hint="eastAsia" w:ascii="楷体_GB2312" w:hAnsi="宋体" w:eastAsia="楷体_GB2312"/>
          <w:b/>
          <w:bCs/>
          <w:u w:val="single"/>
        </w:rPr>
        <w:t xml:space="preserve">           </w:t>
      </w:r>
      <w:r>
        <w:rPr>
          <w:rFonts w:hint="eastAsia"/>
          <w:sz w:val="24"/>
        </w:rPr>
        <w:t>项目市场调研活动的一切事宜。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公司名称（公章）：</w:t>
      </w:r>
      <w:r>
        <w:rPr>
          <w:sz w:val="24"/>
          <w:u w:val="single"/>
        </w:rPr>
        <w:t xml:space="preserve">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left="5880" w:right="283" w:rightChars="135" w:firstLine="420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/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pStyle w:val="2"/>
        <w:spacing w:after="0"/>
        <w:rPr>
          <w:rFonts w:ascii="黑体" w:eastAsia="黑体"/>
        </w:rPr>
      </w:pPr>
      <w:r>
        <w:rPr>
          <w:rFonts w:hint="eastAsia" w:ascii="黑体" w:eastAsia="黑体"/>
        </w:rPr>
        <w:t>附件3:</w:t>
      </w: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 价 表</w:t>
      </w:r>
    </w:p>
    <w:p>
      <w:pPr>
        <w:pStyle w:val="2"/>
        <w:spacing w:after="0" w:line="480" w:lineRule="exact"/>
        <w:ind w:left="-2" w:firstLine="480"/>
        <w:rPr>
          <w:sz w:val="24"/>
        </w:rPr>
      </w:pPr>
    </w:p>
    <w:tbl>
      <w:tblPr>
        <w:tblStyle w:val="5"/>
        <w:tblW w:w="93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651"/>
        <w:gridCol w:w="772"/>
        <w:gridCol w:w="1988"/>
        <w:gridCol w:w="22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28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3651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项目名称</w:t>
            </w:r>
          </w:p>
        </w:tc>
        <w:tc>
          <w:tcPr>
            <w:tcW w:w="772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数量</w:t>
            </w:r>
          </w:p>
        </w:tc>
        <w:tc>
          <w:tcPr>
            <w:tcW w:w="1988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价格（万元）</w:t>
            </w:r>
          </w:p>
        </w:tc>
        <w:tc>
          <w:tcPr>
            <w:tcW w:w="222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合计</w:t>
            </w:r>
          </w:p>
        </w:tc>
        <w:tc>
          <w:tcPr>
            <w:tcW w:w="442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小写：</w:t>
            </w:r>
          </w:p>
        </w:tc>
        <w:tc>
          <w:tcPr>
            <w:tcW w:w="421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大写：</w:t>
            </w:r>
          </w:p>
        </w:tc>
      </w:tr>
    </w:tbl>
    <w:p>
      <w:pPr>
        <w:pStyle w:val="2"/>
        <w:spacing w:after="0" w:line="480" w:lineRule="exact"/>
        <w:ind w:left="-2" w:firstLine="480"/>
        <w:rPr>
          <w:sz w:val="24"/>
        </w:rPr>
      </w:pPr>
    </w:p>
    <w:p>
      <w:pPr>
        <w:pStyle w:val="2"/>
        <w:spacing w:after="0" w:line="480" w:lineRule="exact"/>
        <w:ind w:left="-2" w:firstLine="480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公司名称（公章）: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授权代表签字：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jc w:val="both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联系电话：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  <w:bookmarkStart w:id="0" w:name="_GoBack"/>
      <w:bookmarkEnd w:id="0"/>
    </w:p>
    <w:p>
      <w:pPr>
        <w:jc w:val="right"/>
        <w:rPr>
          <w:rFonts w:hint="eastAsia" w:asciiTheme="minorEastAsia" w:hAnsiTheme="min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iN2E1YzRiYTkyMjNkMjU0MmNkZDVkMzYxY2IxZjQifQ=="/>
  </w:docVars>
  <w:rsids>
    <w:rsidRoot w:val="00CB7B3E"/>
    <w:rsid w:val="00000C26"/>
    <w:rsid w:val="0008300C"/>
    <w:rsid w:val="00091536"/>
    <w:rsid w:val="00185781"/>
    <w:rsid w:val="001A2865"/>
    <w:rsid w:val="001B4FD9"/>
    <w:rsid w:val="001D4122"/>
    <w:rsid w:val="00286077"/>
    <w:rsid w:val="002E06C7"/>
    <w:rsid w:val="003D29B7"/>
    <w:rsid w:val="003E6AF2"/>
    <w:rsid w:val="004B35B5"/>
    <w:rsid w:val="005709CB"/>
    <w:rsid w:val="005A430A"/>
    <w:rsid w:val="005D574C"/>
    <w:rsid w:val="005E5A19"/>
    <w:rsid w:val="00655DA9"/>
    <w:rsid w:val="006613C7"/>
    <w:rsid w:val="006A748B"/>
    <w:rsid w:val="006E1F32"/>
    <w:rsid w:val="00723B5B"/>
    <w:rsid w:val="007D72A1"/>
    <w:rsid w:val="00806C4A"/>
    <w:rsid w:val="008C7B2D"/>
    <w:rsid w:val="008D2FF7"/>
    <w:rsid w:val="00A031E2"/>
    <w:rsid w:val="00A1550F"/>
    <w:rsid w:val="00A3452B"/>
    <w:rsid w:val="00A37167"/>
    <w:rsid w:val="00A616EB"/>
    <w:rsid w:val="00A870F0"/>
    <w:rsid w:val="00AB59BC"/>
    <w:rsid w:val="00AC559E"/>
    <w:rsid w:val="00B02E16"/>
    <w:rsid w:val="00BA26E2"/>
    <w:rsid w:val="00BD1C32"/>
    <w:rsid w:val="00C7277B"/>
    <w:rsid w:val="00C748B1"/>
    <w:rsid w:val="00C8157E"/>
    <w:rsid w:val="00C93582"/>
    <w:rsid w:val="00CB7B3E"/>
    <w:rsid w:val="00D00788"/>
    <w:rsid w:val="00D00CD1"/>
    <w:rsid w:val="00D11636"/>
    <w:rsid w:val="00D26446"/>
    <w:rsid w:val="00D31747"/>
    <w:rsid w:val="00D37BE9"/>
    <w:rsid w:val="00E22773"/>
    <w:rsid w:val="00E47D7C"/>
    <w:rsid w:val="00E528EB"/>
    <w:rsid w:val="00E739E0"/>
    <w:rsid w:val="00EB0595"/>
    <w:rsid w:val="00EC3B62"/>
    <w:rsid w:val="00ED6AF6"/>
    <w:rsid w:val="00EE70D7"/>
    <w:rsid w:val="00EF1BD4"/>
    <w:rsid w:val="00EF6C61"/>
    <w:rsid w:val="00F7079F"/>
    <w:rsid w:val="00FA69D1"/>
    <w:rsid w:val="00FD5F70"/>
    <w:rsid w:val="062D07B8"/>
    <w:rsid w:val="0FD30DBC"/>
    <w:rsid w:val="1B277CB2"/>
    <w:rsid w:val="1C4B24FC"/>
    <w:rsid w:val="28C25FC6"/>
    <w:rsid w:val="2AC0609E"/>
    <w:rsid w:val="3BFD25EA"/>
    <w:rsid w:val="68D46055"/>
    <w:rsid w:val="6AF0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  <w:rPr>
      <w:rFonts w:ascii="Calibri" w:hAnsi="Calibri"/>
      <w:kern w:val="0"/>
      <w:sz w:val="20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0">
    <w:name w:val="正文1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5D5A3ED4-16AA-422D-B875-7F4AE3724AEB}">
  <ds:schemaRefs/>
</ds:datastoreItem>
</file>

<file path=customXml/itemProps2.xml><?xml version="1.0" encoding="utf-8"?>
<ds:datastoreItem xmlns:ds="http://schemas.openxmlformats.org/officeDocument/2006/customXml" ds:itemID="{2FB6FA7C-01E7-4ED4-AAFF-B179C855BC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398</Words>
  <Characters>2272</Characters>
  <Lines>18</Lines>
  <Paragraphs>5</Paragraphs>
  <TotalTime>5</TotalTime>
  <ScaleCrop>false</ScaleCrop>
  <LinksUpToDate>false</LinksUpToDate>
  <CharactersWithSpaces>2665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2024-01-19T01:12:00Z</dcterms:created>
  <dc:creator>Microsoft 帐户</dc:creator>
  <cp:lastModifiedBy>XDD.</cp:lastModifiedBy>
  <dcterms:modified xsi:type="dcterms:W3CDTF">2024-01-31T02:30:52Z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CF7F7AC415D14C20BFA7AF45CB12E364_13</vt:lpwstr>
  </property>
</Properties>
</file>