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3"/>
        <w:rPr>
          <w:rFonts w:hint="eastAsia" w:ascii="宋体" w:hAnsi="宋体" w:eastAsia="宋体" w:cs="宋体"/>
          <w:b/>
          <w:bCs/>
          <w:sz w:val="52"/>
          <w:szCs w:val="52"/>
          <w:lang w:eastAsia="zh-CN"/>
        </w:rPr>
      </w:pPr>
    </w:p>
    <w:p>
      <w:pPr>
        <w:pStyle w:val="3"/>
        <w:rPr>
          <w:rFonts w:hint="eastAsia" w:ascii="宋体" w:hAnsi="宋体" w:eastAsia="宋体" w:cs="宋体"/>
          <w:b/>
          <w:bCs/>
          <w:sz w:val="52"/>
          <w:szCs w:val="52"/>
          <w:lang w:eastAsia="zh-CN"/>
        </w:rPr>
      </w:pPr>
    </w:p>
    <w:p>
      <w:pPr>
        <w:pStyle w:val="3"/>
        <w:rPr>
          <w:rFonts w:hint="eastAsia" w:ascii="宋体" w:hAnsi="宋体" w:eastAsia="宋体" w:cs="宋体"/>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b/>
          <w:bCs/>
          <w:sz w:val="48"/>
          <w:szCs w:val="48"/>
          <w:u w:val="single"/>
          <w:lang w:val="en-US" w:eastAsia="zh-CN"/>
        </w:rPr>
      </w:pPr>
      <w:r>
        <w:rPr>
          <w:rFonts w:hint="eastAsia" w:ascii="宋体" w:hAnsi="宋体" w:eastAsia="宋体" w:cs="宋体"/>
          <w:b/>
          <w:bCs/>
          <w:sz w:val="52"/>
          <w:szCs w:val="52"/>
          <w:lang w:eastAsia="zh-CN"/>
        </w:rPr>
        <w:t>项目名称：</w:t>
      </w:r>
      <w:r>
        <w:rPr>
          <w:rFonts w:hint="eastAsia" w:ascii="Times New Roman" w:hAnsi="Times New Roman"/>
          <w:b/>
          <w:bCs/>
          <w:sz w:val="48"/>
          <w:szCs w:val="48"/>
          <w:u w:val="single"/>
          <w:lang w:eastAsia="zh-CN"/>
        </w:rPr>
        <w:t>注射泵、输液泵、观片灯采购项目</w:t>
      </w:r>
      <w:r>
        <w:rPr>
          <w:rFonts w:hint="eastAsia" w:ascii="宋体" w:hAnsi="宋体" w:eastAsia="宋体" w:cs="宋体"/>
          <w:b/>
          <w:bCs/>
          <w:sz w:val="48"/>
          <w:szCs w:val="48"/>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48"/>
          <w:szCs w:val="48"/>
          <w:u w:val="single"/>
          <w:lang w:eastAsia="zh-CN"/>
        </w:rPr>
      </w:pPr>
    </w:p>
    <w:p>
      <w:pPr>
        <w:pStyle w:val="3"/>
        <w:ind w:left="0" w:leftChars="0" w:firstLine="0" w:firstLineChars="0"/>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jc w:val="center"/>
        <w:rPr>
          <w:rFonts w:hint="eastAsia" w:ascii="Times New Roman" w:hAnsi="Times New Roman"/>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2023年4月</w:t>
      </w:r>
    </w:p>
    <w:p>
      <w:pPr>
        <w:rPr>
          <w:rFonts w:hint="eastAsia" w:ascii="Times New Roman" w:hAnsi="Times New Roman"/>
          <w:b/>
          <w:bCs/>
          <w:sz w:val="32"/>
          <w:szCs w:val="32"/>
        </w:rPr>
      </w:pPr>
      <w:r>
        <w:rPr>
          <w:rFonts w:hint="eastAsia" w:ascii="Times New Roman" w:hAnsi="Times New Roman"/>
          <w:b/>
          <w:bCs/>
          <w:sz w:val="32"/>
          <w:szCs w:val="32"/>
        </w:rPr>
        <w:br w:type="page"/>
      </w:r>
    </w:p>
    <w:p>
      <w:pPr>
        <w:spacing w:line="440" w:lineRule="exact"/>
        <w:jc w:val="center"/>
        <w:rPr>
          <w:rFonts w:hint="eastAsia" w:ascii="Times New Roman" w:hAnsi="Times New Roman"/>
          <w:b/>
          <w:bCs/>
          <w:sz w:val="32"/>
          <w:szCs w:val="32"/>
        </w:rPr>
      </w:pPr>
      <w:r>
        <w:rPr>
          <w:rFonts w:hint="eastAsia" w:ascii="Times New Roman" w:hAnsi="Times New Roman"/>
          <w:b/>
          <w:bCs/>
          <w:sz w:val="32"/>
          <w:szCs w:val="32"/>
        </w:rPr>
        <w:t>三台县人民医院</w:t>
      </w:r>
    </w:p>
    <w:p>
      <w:pPr>
        <w:spacing w:line="440" w:lineRule="exact"/>
        <w:jc w:val="center"/>
        <w:rPr>
          <w:rFonts w:hint="eastAsia" w:ascii="Times New Roman" w:hAnsi="Times New Roman"/>
          <w:b/>
          <w:bCs/>
          <w:sz w:val="32"/>
          <w:szCs w:val="32"/>
        </w:rPr>
      </w:pPr>
      <w:r>
        <w:rPr>
          <w:rFonts w:hint="eastAsia" w:ascii="Times New Roman" w:hAnsi="Times New Roman"/>
          <w:b/>
          <w:bCs/>
          <w:sz w:val="32"/>
          <w:szCs w:val="32"/>
        </w:rPr>
        <w:t>关于注射泵、输液泵、</w:t>
      </w:r>
      <w:r>
        <w:rPr>
          <w:rFonts w:hint="eastAsia" w:ascii="Times New Roman" w:hAnsi="Times New Roman"/>
          <w:b/>
          <w:bCs/>
          <w:sz w:val="32"/>
          <w:szCs w:val="32"/>
          <w:lang w:val="en-US" w:eastAsia="zh-CN"/>
        </w:rPr>
        <w:t>医用</w:t>
      </w:r>
      <w:r>
        <w:rPr>
          <w:rFonts w:hint="eastAsia" w:ascii="Times New Roman" w:hAnsi="Times New Roman"/>
          <w:b/>
          <w:bCs/>
          <w:sz w:val="32"/>
          <w:szCs w:val="32"/>
        </w:rPr>
        <w:t>观片灯的采购公告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bookmarkStart w:id="51" w:name="_GoBack"/>
      <w:bookmarkEnd w:id="51"/>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注射泵、输液泵、</w:t>
      </w:r>
      <w:r>
        <w:rPr>
          <w:rFonts w:hint="eastAsia" w:ascii="Times New Roman" w:hAnsi="Times New Roman"/>
          <w:color w:val="000000"/>
          <w:sz w:val="24"/>
          <w:szCs w:val="24"/>
          <w:lang w:val="en-US" w:eastAsia="zh-CN"/>
        </w:rPr>
        <w:t>医用</w:t>
      </w:r>
      <w:r>
        <w:rPr>
          <w:rFonts w:hint="eastAsia" w:ascii="Times New Roman" w:hAnsi="Times New Roman"/>
          <w:color w:val="000000"/>
          <w:sz w:val="24"/>
          <w:szCs w:val="24"/>
          <w:lang w:eastAsia="zh-CN"/>
        </w:rPr>
        <w:t>观片灯，</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注射泵、输液泵、</w:t>
      </w:r>
      <w:r>
        <w:rPr>
          <w:rFonts w:hint="eastAsia" w:ascii="Times New Roman" w:hAnsi="Times New Roman"/>
          <w:color w:val="000000"/>
          <w:sz w:val="24"/>
          <w:szCs w:val="24"/>
          <w:lang w:val="en-US" w:eastAsia="zh-CN"/>
        </w:rPr>
        <w:t>医用</w:t>
      </w:r>
      <w:r>
        <w:rPr>
          <w:rFonts w:hint="eastAsia" w:ascii="Times New Roman" w:hAnsi="Times New Roman"/>
          <w:color w:val="000000"/>
          <w:sz w:val="24"/>
          <w:szCs w:val="24"/>
          <w:lang w:eastAsia="zh-CN"/>
        </w:rPr>
        <w:t>观片灯采</w:t>
      </w:r>
      <w:r>
        <w:rPr>
          <w:rFonts w:ascii="Times New Roman" w:hAnsi="Times New Roman"/>
          <w:bCs/>
          <w:sz w:val="24"/>
          <w:szCs w:val="24"/>
        </w:rPr>
        <w:t>购项目</w:t>
      </w:r>
    </w:p>
    <w:p>
      <w:pPr>
        <w:numPr>
          <w:ilvl w:val="0"/>
          <w:numId w:val="0"/>
        </w:numPr>
        <w:spacing w:line="440" w:lineRule="exact"/>
        <w:ind w:leftChars="0"/>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4"/>
        <w:tblW w:w="4933"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733"/>
        <w:gridCol w:w="779"/>
        <w:gridCol w:w="1306"/>
        <w:gridCol w:w="216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3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包号</w:t>
            </w: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46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77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ascii="Times New Roman" w:hAnsi="Times New Roman"/>
                <w:b/>
                <w:color w:val="auto"/>
                <w:sz w:val="24"/>
                <w:szCs w:val="24"/>
              </w:rPr>
              <w:t>数量</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0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4"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w:t>
            </w: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单通道注射泵</w:t>
            </w:r>
          </w:p>
        </w:tc>
        <w:tc>
          <w:tcPr>
            <w:tcW w:w="46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77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采购单价</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0.4</w:t>
            </w:r>
          </w:p>
        </w:tc>
        <w:tc>
          <w:tcPr>
            <w:tcW w:w="1010"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本次采购报价为单价，供货期限为3年。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4" w:type="pct"/>
            <w:vMerge w:val="continue"/>
            <w:tcBorders>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双通道注射泵</w:t>
            </w:r>
          </w:p>
        </w:tc>
        <w:tc>
          <w:tcPr>
            <w:tcW w:w="46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77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采购单价</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0.65</w:t>
            </w:r>
          </w:p>
        </w:tc>
        <w:tc>
          <w:tcPr>
            <w:tcW w:w="1010"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4" w:type="pct"/>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输液泵</w:t>
            </w:r>
          </w:p>
        </w:tc>
        <w:tc>
          <w:tcPr>
            <w:tcW w:w="46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7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采购单价</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0.55</w:t>
            </w:r>
          </w:p>
        </w:tc>
        <w:tc>
          <w:tcPr>
            <w:tcW w:w="1010"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02</w:t>
            </w: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000000"/>
                <w:sz w:val="24"/>
                <w:szCs w:val="24"/>
                <w:lang w:val="en-US" w:eastAsia="zh-CN"/>
              </w:rPr>
              <w:t>医用观片灯</w:t>
            </w:r>
          </w:p>
        </w:tc>
        <w:tc>
          <w:tcPr>
            <w:tcW w:w="46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7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采购单价</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0.22</w:t>
            </w:r>
          </w:p>
        </w:tc>
        <w:tc>
          <w:tcPr>
            <w:tcW w:w="1010" w:type="pct"/>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4</w:t>
      </w:r>
      <w:r>
        <w:rPr>
          <w:rFonts w:ascii="Times New Roman" w:hAnsi="Times New Roman"/>
          <w:color w:val="auto"/>
          <w:sz w:val="24"/>
          <w:szCs w:val="24"/>
        </w:rPr>
        <w:t>月</w:t>
      </w:r>
      <w:r>
        <w:rPr>
          <w:rFonts w:hint="eastAsia" w:ascii="Times New Roman" w:hAnsi="Times New Roman"/>
          <w:color w:val="auto"/>
          <w:sz w:val="24"/>
          <w:szCs w:val="24"/>
          <w:lang w:val="en-US" w:eastAsia="zh-CN"/>
        </w:rPr>
        <w:t>29</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5</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6</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5</w:t>
      </w:r>
      <w:r>
        <w:rPr>
          <w:rFonts w:ascii="Times New Roman" w:hAnsi="Times New Roman"/>
          <w:color w:val="auto"/>
          <w:sz w:val="24"/>
          <w:szCs w:val="24"/>
        </w:rPr>
        <w:t>月</w:t>
      </w:r>
      <w:r>
        <w:rPr>
          <w:rFonts w:hint="eastAsia" w:ascii="Times New Roman" w:hAnsi="Times New Roman"/>
          <w:color w:val="auto"/>
          <w:sz w:val="24"/>
          <w:szCs w:val="24"/>
          <w:lang w:val="en-US" w:eastAsia="zh-CN"/>
        </w:rPr>
        <w:t>9</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（一）</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28</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4"/>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注射泵、输液泵、医用观片灯</w:t>
      </w:r>
      <w:r>
        <w:rPr>
          <w:rFonts w:hint="eastAsia" w:ascii="Times New Roman" w:hAnsi="Times New Roman"/>
          <w:color w:val="auto"/>
          <w:sz w:val="32"/>
          <w:szCs w:val="32"/>
          <w:lang w:eastAsia="zh-CN"/>
        </w:rPr>
        <w:t>的比选文件</w:t>
      </w:r>
    </w:p>
    <w:p>
      <w:pPr>
        <w:pStyle w:val="4"/>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注射泵、输液泵、医用观片灯，</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注射泵、输液泵、医用观片灯</w:t>
      </w:r>
      <w:r>
        <w:rPr>
          <w:rFonts w:ascii="Times New Roman" w:hAnsi="Times New Roman"/>
          <w:bCs/>
          <w:sz w:val="24"/>
          <w:szCs w:val="24"/>
        </w:rPr>
        <w:t>采购项目</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4"/>
        <w:tblW w:w="4933"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733"/>
        <w:gridCol w:w="779"/>
        <w:gridCol w:w="1306"/>
        <w:gridCol w:w="216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3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包号</w:t>
            </w: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46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77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ascii="Times New Roman" w:hAnsi="Times New Roman"/>
                <w:b/>
                <w:color w:val="auto"/>
                <w:sz w:val="24"/>
                <w:szCs w:val="24"/>
              </w:rPr>
              <w:t>数量</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0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4"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w:t>
            </w: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单通道注射泵</w:t>
            </w:r>
          </w:p>
        </w:tc>
        <w:tc>
          <w:tcPr>
            <w:tcW w:w="46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77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采购单价</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0.4</w:t>
            </w:r>
          </w:p>
        </w:tc>
        <w:tc>
          <w:tcPr>
            <w:tcW w:w="1010"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本次采购报价为单价，供货期限为3年。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4" w:type="pct"/>
            <w:vMerge w:val="continue"/>
            <w:tcBorders>
              <w:left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双通道注射泵</w:t>
            </w:r>
          </w:p>
        </w:tc>
        <w:tc>
          <w:tcPr>
            <w:tcW w:w="46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77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采购单价</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0.65</w:t>
            </w:r>
          </w:p>
        </w:tc>
        <w:tc>
          <w:tcPr>
            <w:tcW w:w="1010"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4" w:type="pct"/>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输液泵</w:t>
            </w:r>
          </w:p>
        </w:tc>
        <w:tc>
          <w:tcPr>
            <w:tcW w:w="46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7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采购单价</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0.55</w:t>
            </w:r>
          </w:p>
        </w:tc>
        <w:tc>
          <w:tcPr>
            <w:tcW w:w="1010"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02</w:t>
            </w:r>
          </w:p>
        </w:tc>
        <w:tc>
          <w:tcPr>
            <w:tcW w:w="10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000000"/>
                <w:sz w:val="24"/>
                <w:szCs w:val="24"/>
                <w:lang w:val="en-US" w:eastAsia="zh-CN"/>
              </w:rPr>
              <w:t>医用观片灯</w:t>
            </w:r>
          </w:p>
        </w:tc>
        <w:tc>
          <w:tcPr>
            <w:tcW w:w="46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7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采购单价</w:t>
            </w:r>
          </w:p>
        </w:tc>
        <w:tc>
          <w:tcPr>
            <w:tcW w:w="128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0.22</w:t>
            </w:r>
          </w:p>
        </w:tc>
        <w:tc>
          <w:tcPr>
            <w:tcW w:w="1010" w:type="pct"/>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22</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3</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4</w:t>
      </w:r>
      <w:r>
        <w:rPr>
          <w:rFonts w:ascii="Times New Roman" w:hAnsi="Times New Roman"/>
          <w:sz w:val="24"/>
          <w:szCs w:val="24"/>
        </w:rPr>
        <w:t>年</w:t>
      </w:r>
      <w:r>
        <w:rPr>
          <w:rFonts w:hint="eastAsia" w:ascii="Times New Roman" w:hAnsi="Times New Roman"/>
          <w:sz w:val="24"/>
          <w:szCs w:val="24"/>
          <w:lang w:val="en-US" w:eastAsia="zh-CN"/>
        </w:rPr>
        <w:t>4</w:t>
      </w:r>
      <w:r>
        <w:rPr>
          <w:rFonts w:ascii="Times New Roman" w:hAnsi="Times New Roman"/>
          <w:sz w:val="24"/>
          <w:szCs w:val="24"/>
        </w:rPr>
        <w:t>月</w:t>
      </w:r>
      <w:r>
        <w:rPr>
          <w:rFonts w:hint="eastAsia" w:ascii="Times New Roman" w:hAnsi="Times New Roman"/>
          <w:sz w:val="24"/>
          <w:szCs w:val="24"/>
          <w:lang w:val="en-US" w:eastAsia="zh-CN"/>
        </w:rPr>
        <w:t>29</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4</w:t>
      </w:r>
      <w:r>
        <w:rPr>
          <w:rFonts w:hint="eastAsia" w:ascii="Times New Roman" w:hAnsi="Times New Roman"/>
          <w:sz w:val="24"/>
          <w:szCs w:val="24"/>
        </w:rPr>
        <w:t>年</w:t>
      </w:r>
      <w:r>
        <w:rPr>
          <w:rFonts w:hint="eastAsia" w:ascii="Times New Roman" w:hAnsi="Times New Roman"/>
          <w:sz w:val="24"/>
          <w:szCs w:val="24"/>
          <w:lang w:val="en-US" w:eastAsia="zh-CN"/>
        </w:rPr>
        <w:t>5</w:t>
      </w:r>
      <w:r>
        <w:rPr>
          <w:rFonts w:hint="eastAsia" w:ascii="Times New Roman" w:hAnsi="Times New Roman"/>
          <w:sz w:val="24"/>
          <w:szCs w:val="24"/>
        </w:rPr>
        <w:t>月</w:t>
      </w:r>
      <w:r>
        <w:rPr>
          <w:rFonts w:hint="eastAsia" w:ascii="Times New Roman" w:hAnsi="Times New Roman"/>
          <w:sz w:val="24"/>
          <w:szCs w:val="24"/>
          <w:lang w:val="en-US" w:eastAsia="zh-CN"/>
        </w:rPr>
        <w:t>6</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4</w:t>
      </w:r>
      <w:r>
        <w:rPr>
          <w:rFonts w:ascii="Times New Roman" w:hAnsi="Times New Roman"/>
          <w:sz w:val="24"/>
          <w:szCs w:val="24"/>
        </w:rPr>
        <w:t>年</w:t>
      </w:r>
      <w:r>
        <w:rPr>
          <w:rFonts w:hint="eastAsia" w:ascii="Times New Roman" w:hAnsi="Times New Roman"/>
          <w:sz w:val="24"/>
          <w:szCs w:val="24"/>
          <w:lang w:val="en-US" w:eastAsia="zh-CN"/>
        </w:rPr>
        <w:t>5</w:t>
      </w:r>
      <w:r>
        <w:rPr>
          <w:rFonts w:ascii="Times New Roman" w:hAnsi="Times New Roman"/>
          <w:sz w:val="24"/>
          <w:szCs w:val="24"/>
        </w:rPr>
        <w:t>月</w:t>
      </w:r>
      <w:r>
        <w:rPr>
          <w:rFonts w:hint="eastAsia" w:ascii="Times New Roman" w:hAnsi="Times New Roman"/>
          <w:sz w:val="24"/>
          <w:szCs w:val="24"/>
          <w:lang w:val="en-US" w:eastAsia="zh-CN"/>
        </w:rPr>
        <w:t>9</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w:t>
      </w:r>
      <w:r>
        <w:rPr>
          <w:rFonts w:hint="eastAsia" w:ascii="Times New Roman" w:hAnsi="Times New Roman"/>
          <w:kern w:val="0"/>
          <w:sz w:val="24"/>
          <w:szCs w:val="24"/>
          <w:lang w:eastAsia="zh-CN"/>
        </w:rPr>
        <w:t>项目</w:t>
      </w:r>
      <w:r>
        <w:rPr>
          <w:rFonts w:hint="eastAsia" w:ascii="Times New Roman" w:hAnsi="Times New Roman"/>
          <w:kern w:val="0"/>
          <w:sz w:val="24"/>
          <w:szCs w:val="24"/>
        </w:rPr>
        <w:t>名称</w:t>
      </w:r>
      <w:r>
        <w:rPr>
          <w:rFonts w:hint="eastAsia" w:ascii="Times New Roman" w:hAnsi="Times New Roman"/>
          <w:kern w:val="0"/>
          <w:sz w:val="24"/>
          <w:szCs w:val="24"/>
          <w:lang w:eastAsia="zh-CN"/>
        </w:rPr>
        <w:t>和包号</w:t>
      </w:r>
      <w:r>
        <w:rPr>
          <w:rFonts w:hint="eastAsia" w:ascii="Times New Roman" w:hAnsi="Times New Roman"/>
          <w:kern w:val="0"/>
          <w:sz w:val="24"/>
          <w:szCs w:val="24"/>
        </w:rPr>
        <w:t>。</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4</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5</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10</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pPr>
        <w:pageBreakBefore w:val="0"/>
        <w:kinsoku/>
        <w:wordWrap/>
        <w:overflowPunct/>
        <w:topLinePunct w:val="0"/>
        <w:bidi w:val="0"/>
        <w:snapToGrid/>
        <w:spacing w:line="400" w:lineRule="exact"/>
        <w:textAlignment w:val="auto"/>
        <w:rPr>
          <w:rFonts w:hint="eastAsia" w:ascii="Times New Roman" w:hAnsi="Times New Roman" w:eastAsia="宋体"/>
          <w:b w:val="0"/>
          <w:bCs/>
          <w:kern w:val="0"/>
          <w:sz w:val="24"/>
          <w:szCs w:val="24"/>
          <w:lang w:eastAsia="zh-CN"/>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r>
        <w:rPr>
          <w:rFonts w:hint="eastAsia" w:ascii="Times New Roman" w:hAnsi="Times New Roman"/>
          <w:b w:val="0"/>
          <w:bCs/>
          <w:sz w:val="24"/>
          <w:szCs w:val="24"/>
          <w:lang w:eastAsia="zh-CN"/>
        </w:rPr>
        <w:t>（一）</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418004672"/>
      <w:bookmarkStart w:id="3" w:name="_Toc52036323"/>
      <w:r>
        <w:rPr>
          <w:sz w:val="24"/>
          <w:szCs w:val="24"/>
        </w:rPr>
        <w:t xml:space="preserve"> </w:t>
      </w:r>
      <w:bookmarkEnd w:id="1"/>
      <w:bookmarkEnd w:id="2"/>
      <w:bookmarkEnd w:id="3"/>
      <w:bookmarkStart w:id="4" w:name="_Toc52036324"/>
    </w:p>
    <w:p>
      <w:pPr>
        <w:rPr>
          <w:sz w:val="24"/>
          <w:szCs w:val="24"/>
        </w:rPr>
      </w:pPr>
      <w:r>
        <w:rPr>
          <w:sz w:val="24"/>
          <w:szCs w:val="24"/>
        </w:rPr>
        <w:br w:type="page"/>
      </w:r>
    </w:p>
    <w:p>
      <w:pPr>
        <w:keepNext w:val="0"/>
        <w:keepLines w:val="0"/>
        <w:pageBreakBefore w:val="0"/>
        <w:widowControl/>
        <w:kinsoku/>
        <w:wordWrap/>
        <w:overflowPunct/>
        <w:topLinePunct w:val="0"/>
        <w:autoSpaceDE/>
        <w:autoSpaceDN/>
        <w:bidi w:val="0"/>
        <w:adjustRightInd/>
        <w:snapToGrid/>
        <w:spacing w:line="42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比选项目技术、服务、商务要求</w:t>
      </w:r>
      <w:bookmarkEnd w:id="4"/>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eastAsia="宋体" w:cs="Times New Roman" w:asciiTheme="minorEastAsia" w:hAnsiTheme="minorEastAsia"/>
          <w:b/>
          <w:kern w:val="2"/>
          <w:sz w:val="28"/>
          <w:szCs w:val="28"/>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20" w:lineRule="exact"/>
        <w:ind w:leftChars="0" w:firstLine="0" w:firstLineChars="0"/>
        <w:textAlignment w:val="baseline"/>
        <w:rPr>
          <w:rFonts w:hint="eastAsia" w:ascii="宋体" w:hAnsi="宋体" w:cs="宋体"/>
          <w:b/>
          <w:bCs/>
          <w:sz w:val="24"/>
          <w:lang w:val="en-US" w:eastAsia="zh-CN"/>
        </w:rPr>
      </w:pPr>
      <w:r>
        <w:rPr>
          <w:rFonts w:hint="eastAsia" w:ascii="宋体" w:hAnsi="宋体" w:cs="宋体"/>
          <w:b/>
          <w:bCs/>
          <w:sz w:val="24"/>
          <w:lang w:val="en-US" w:eastAsia="zh-CN"/>
        </w:rPr>
        <w:t>01包</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rPr>
          <w:rFonts w:ascii="宋体" w:hAnsi="宋体" w:eastAsia="宋体"/>
          <w:sz w:val="24"/>
          <w:szCs w:val="24"/>
        </w:rPr>
      </w:pPr>
      <w:r>
        <w:rPr>
          <w:rFonts w:hint="eastAsia" w:ascii="宋体" w:hAnsi="宋体" w:eastAsia="宋体"/>
          <w:b/>
          <w:sz w:val="24"/>
          <w:szCs w:val="24"/>
        </w:rPr>
        <w:t>单通道注射泵</w:t>
      </w:r>
    </w:p>
    <w:p>
      <w:pPr>
        <w:pStyle w:val="54"/>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注射泵需通过三类注册证</w:t>
      </w:r>
    </w:p>
    <w:p>
      <w:pPr>
        <w:pStyle w:val="54"/>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整机使用期限≥10年</w:t>
      </w:r>
      <w:r>
        <w:rPr>
          <w:rFonts w:hint="eastAsia" w:ascii="宋体" w:hAnsi="宋体" w:eastAsia="宋体"/>
          <w:sz w:val="24"/>
          <w:szCs w:val="24"/>
        </w:rPr>
        <w:t>，</w:t>
      </w:r>
      <w:r>
        <w:rPr>
          <w:rFonts w:ascii="宋体" w:hAnsi="宋体" w:eastAsia="宋体"/>
          <w:sz w:val="24"/>
          <w:szCs w:val="24"/>
        </w:rPr>
        <w:t>注射精度</w:t>
      </w:r>
      <w:r>
        <w:rPr>
          <w:rFonts w:ascii="宋体" w:hAnsi="宋体" w:eastAsia="宋体"/>
          <w:color w:val="auto"/>
          <w:sz w:val="24"/>
          <w:szCs w:val="24"/>
        </w:rPr>
        <w:t>≤±1.</w:t>
      </w:r>
      <w:r>
        <w:rPr>
          <w:rFonts w:hint="eastAsia" w:ascii="宋体" w:hAnsi="宋体" w:eastAsia="宋体"/>
          <w:color w:val="auto"/>
          <w:sz w:val="24"/>
          <w:szCs w:val="24"/>
        </w:rPr>
        <w:t>5</w:t>
      </w:r>
      <w:r>
        <w:rPr>
          <w:rFonts w:ascii="宋体" w:hAnsi="宋体" w:eastAsia="宋体"/>
          <w:color w:val="auto"/>
          <w:sz w:val="24"/>
          <w:szCs w:val="24"/>
        </w:rPr>
        <w:t>%</w:t>
      </w:r>
    </w:p>
    <w:p>
      <w:pPr>
        <w:pStyle w:val="54"/>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速率范围：0.01-2300ml/h 最小起始流速和步进流速均为0.01ml/h</w:t>
      </w:r>
    </w:p>
    <w:p>
      <w:pPr>
        <w:pStyle w:val="54"/>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快进流速范围：0.01-2300ml/h，具有自动和手动快进可选；</w:t>
      </w:r>
    </w:p>
    <w:p>
      <w:pPr>
        <w:pStyle w:val="54"/>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可自动统计四种累计量：24h累计量、最近累计量、自定义时间段累计量、定时间隔累计量</w:t>
      </w:r>
    </w:p>
    <w:p>
      <w:pPr>
        <w:pStyle w:val="54"/>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支持注射器规格：2ml、3ml、5ml、10ml、20ml、30ml、50/60ml；</w:t>
      </w:r>
    </w:p>
    <w:p>
      <w:pPr>
        <w:pStyle w:val="54"/>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firstLine="0" w:firstLineChars="0"/>
        <w:textAlignment w:val="auto"/>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注射器安装后，在推拉盒触碰到注射器活塞末端时，不松开捏柄时推杆也可自动感应制动，防止药液误推</w:t>
      </w:r>
    </w:p>
    <w:p>
      <w:pPr>
        <w:pStyle w:val="54"/>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8种注射模式：速度模式、时间模式、体重模式、梯度模式、序列模式、剂量时间模式、间断给药模式、TIVA模式</w:t>
      </w:r>
    </w:p>
    <w:p>
      <w:pPr>
        <w:pStyle w:val="54"/>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支持镇痛药、化疗药、胰岛素输注</w:t>
      </w:r>
    </w:p>
    <w:p>
      <w:pPr>
        <w:pStyle w:val="54"/>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可选TCI模式，TCI模式支持</w:t>
      </w:r>
      <w:r>
        <w:rPr>
          <w:rFonts w:hint="eastAsia" w:ascii="宋体" w:hAnsi="宋体" w:eastAsia="宋体"/>
          <w:sz w:val="24"/>
          <w:szCs w:val="24"/>
        </w:rPr>
        <w:t>≥</w:t>
      </w:r>
      <w:r>
        <w:rPr>
          <w:rFonts w:ascii="宋体" w:hAnsi="宋体" w:eastAsia="宋体"/>
          <w:sz w:val="24"/>
          <w:szCs w:val="24"/>
        </w:rPr>
        <w:t>三种药物：丙泊酚，瑞芬太尼，苏芬太尼，支持丙泊酚小儿药代模型</w:t>
      </w:r>
    </w:p>
    <w:p>
      <w:pPr>
        <w:pStyle w:val="54"/>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sz w:val="24"/>
          <w:szCs w:val="24"/>
        </w:rPr>
        <w:t>≥</w:t>
      </w:r>
      <w:r>
        <w:rPr>
          <w:rFonts w:hint="eastAsia" w:ascii="宋体" w:hAnsi="宋体" w:eastAsia="宋体"/>
          <w:color w:val="auto"/>
          <w:sz w:val="24"/>
          <w:szCs w:val="24"/>
        </w:rPr>
        <w:t>4</w:t>
      </w:r>
      <w:r>
        <w:rPr>
          <w:rFonts w:ascii="宋体" w:hAnsi="宋体" w:eastAsia="宋体"/>
          <w:sz w:val="24"/>
          <w:szCs w:val="24"/>
        </w:rPr>
        <w:t>英寸彩色显示屏，电容触摸屏技术</w:t>
      </w:r>
    </w:p>
    <w:p>
      <w:pPr>
        <w:pStyle w:val="54"/>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支持药物库，可储存</w:t>
      </w:r>
      <w:r>
        <w:rPr>
          <w:rFonts w:hint="eastAsia" w:ascii="宋体" w:hAnsi="宋体" w:eastAsia="宋体"/>
          <w:sz w:val="24"/>
          <w:szCs w:val="24"/>
        </w:rPr>
        <w:t>≥</w:t>
      </w:r>
      <w:r>
        <w:rPr>
          <w:rFonts w:ascii="宋体" w:hAnsi="宋体" w:eastAsia="宋体"/>
          <w:sz w:val="24"/>
          <w:szCs w:val="24"/>
        </w:rPr>
        <w:t>5000种药物信息</w:t>
      </w:r>
      <w:r>
        <w:rPr>
          <w:rFonts w:hint="eastAsia" w:ascii="宋体" w:hAnsi="宋体" w:eastAsia="宋体"/>
          <w:sz w:val="24"/>
          <w:szCs w:val="24"/>
        </w:rPr>
        <w:t>，</w:t>
      </w:r>
      <w:r>
        <w:rPr>
          <w:rFonts w:ascii="宋体" w:hAnsi="宋体" w:eastAsia="宋体"/>
          <w:sz w:val="24"/>
          <w:szCs w:val="24"/>
        </w:rPr>
        <w:t>支持药物色彩标识，选择不同类型药物时对应的药物色彩标识自动显示在屏幕上，支持</w:t>
      </w:r>
      <w:r>
        <w:rPr>
          <w:rFonts w:hint="eastAsia" w:ascii="宋体" w:hAnsi="宋体" w:eastAsia="宋体"/>
          <w:sz w:val="24"/>
          <w:szCs w:val="24"/>
        </w:rPr>
        <w:t>≥</w:t>
      </w:r>
      <w:r>
        <w:rPr>
          <w:rFonts w:ascii="宋体" w:hAnsi="宋体" w:eastAsia="宋体"/>
          <w:sz w:val="24"/>
          <w:szCs w:val="24"/>
        </w:rPr>
        <w:t>4种颜色</w:t>
      </w:r>
    </w:p>
    <w:p>
      <w:pPr>
        <w:pStyle w:val="54"/>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在线动态压力监测，可实时显示当前压力数值；压力报警阈值</w:t>
      </w:r>
      <w:r>
        <w:rPr>
          <w:rFonts w:hint="eastAsia" w:ascii="宋体" w:hAnsi="宋体" w:eastAsia="宋体"/>
          <w:sz w:val="24"/>
          <w:szCs w:val="24"/>
        </w:rPr>
        <w:t>≥</w:t>
      </w:r>
      <w:r>
        <w:rPr>
          <w:rFonts w:ascii="宋体" w:hAnsi="宋体" w:eastAsia="宋体"/>
          <w:sz w:val="24"/>
          <w:szCs w:val="24"/>
        </w:rPr>
        <w:t>15档可调，最低可设置50mmHg</w:t>
      </w:r>
    </w:p>
    <w:p>
      <w:pPr>
        <w:pStyle w:val="54"/>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具备阻塞前预警提示功能，当管路压力未触发阻塞报警时，泵可自动识别压力上升并在屏幕上进行提示</w:t>
      </w:r>
    </w:p>
    <w:p>
      <w:pPr>
        <w:pStyle w:val="54"/>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具备阻塞后自动重启输液功能，短暂性阻塞触发报警后，泵检测到阻塞压力缓解时，无需人为干预，泵自动重新启动输液</w:t>
      </w:r>
    </w:p>
    <w:p>
      <w:pPr>
        <w:pStyle w:val="54"/>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信息储存：可存储5000条的历史记录</w:t>
      </w:r>
    </w:p>
    <w:p>
      <w:pPr>
        <w:pStyle w:val="54"/>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电池工作时间≥</w:t>
      </w:r>
      <w:r>
        <w:rPr>
          <w:rFonts w:hint="eastAsia" w:ascii="宋体" w:hAnsi="宋体" w:eastAsia="宋体"/>
          <w:sz w:val="24"/>
          <w:szCs w:val="24"/>
        </w:rPr>
        <w:t>6.5</w:t>
      </w:r>
      <w:r>
        <w:rPr>
          <w:rFonts w:ascii="宋体" w:hAnsi="宋体" w:eastAsia="宋体"/>
          <w:sz w:val="24"/>
          <w:szCs w:val="24"/>
        </w:rPr>
        <w:t>小时@5ml/h</w:t>
      </w:r>
      <w:r>
        <w:rPr>
          <w:rFonts w:hint="eastAsia" w:ascii="宋体" w:hAnsi="宋体" w:eastAsia="宋体"/>
          <w:sz w:val="24"/>
          <w:szCs w:val="24"/>
        </w:rPr>
        <w:t>，</w:t>
      </w:r>
      <w:r>
        <w:rPr>
          <w:rFonts w:ascii="宋体" w:hAnsi="宋体" w:eastAsia="宋体"/>
          <w:sz w:val="24"/>
          <w:szCs w:val="24"/>
        </w:rPr>
        <w:t>防异物及进液等级IP44</w:t>
      </w:r>
      <w:r>
        <w:rPr>
          <w:rFonts w:hint="eastAsia" w:ascii="宋体" w:hAnsi="宋体" w:eastAsia="宋体"/>
          <w:sz w:val="24"/>
          <w:szCs w:val="24"/>
        </w:rPr>
        <w:t>，</w:t>
      </w:r>
      <w:r>
        <w:rPr>
          <w:rFonts w:ascii="宋体" w:hAnsi="宋体" w:eastAsia="宋体"/>
          <w:sz w:val="24"/>
          <w:szCs w:val="24"/>
        </w:rPr>
        <w:t>整机重量</w:t>
      </w:r>
      <w:r>
        <w:rPr>
          <w:rFonts w:hint="eastAsia" w:ascii="宋体" w:hAnsi="宋体" w:eastAsia="宋体"/>
          <w:sz w:val="24"/>
          <w:szCs w:val="24"/>
        </w:rPr>
        <w:t>≤</w:t>
      </w:r>
      <w:r>
        <w:rPr>
          <w:rFonts w:ascii="宋体" w:hAnsi="宋体" w:eastAsia="宋体"/>
          <w:sz w:val="24"/>
          <w:szCs w:val="24"/>
        </w:rPr>
        <w:t>1.7kg</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b/>
          <w:sz w:val="24"/>
          <w:szCs w:val="24"/>
        </w:rPr>
        <w:t>双通道注射泵</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注射泵需通过三类注册证</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整机使用期限≥10年</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双通道为主机一体化设计，无需额外配件。每个通道具备独立电源开关，使用时更节能。</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注射精度</w:t>
      </w:r>
      <w:r>
        <w:rPr>
          <w:rFonts w:ascii="宋体" w:hAnsi="宋体" w:eastAsia="宋体"/>
          <w:color w:val="auto"/>
          <w:sz w:val="24"/>
          <w:szCs w:val="24"/>
        </w:rPr>
        <w:t>≤±1.</w:t>
      </w:r>
      <w:r>
        <w:rPr>
          <w:rFonts w:hint="eastAsia" w:ascii="宋体" w:hAnsi="宋体" w:eastAsia="宋体"/>
          <w:color w:val="auto"/>
          <w:sz w:val="24"/>
          <w:szCs w:val="24"/>
        </w:rPr>
        <w:t>5</w:t>
      </w:r>
      <w:r>
        <w:rPr>
          <w:rFonts w:ascii="宋体" w:hAnsi="宋体" w:eastAsia="宋体"/>
          <w:color w:val="auto"/>
          <w:sz w:val="24"/>
          <w:szCs w:val="24"/>
        </w:rPr>
        <w:t>%</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速率范围：0.01-2300ml/h 最小起始流速和步进流速均为0.01ml/h</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快进流速范围：0.01-2300ml/h，具有自动和手动快进可选；</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可自动统计四种累计量：24h累计量、最近累计量、自定义时间段累计量、定时间隔累计量</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支持注射器规格：2ml、3ml、5ml、10ml、20ml、30ml、50/60ml；</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注射器安装后，在推拉盒触碰到注射器活塞末端时，不松开捏柄时推杆也可自动感应制动，防止药液误推</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8种注射模式：速度模式、时间模式、体重模式、梯度模式、序列模式、剂量时间模式、间断给药模式、TIVA模式</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支持镇痛药、化疗药、胰岛素输注（提供证明文件）</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color w:val="auto"/>
          <w:sz w:val="24"/>
          <w:szCs w:val="24"/>
        </w:rPr>
      </w:pPr>
      <w:r>
        <w:rPr>
          <w:rFonts w:hint="eastAsia" w:ascii="宋体" w:hAnsi="宋体" w:eastAsia="宋体" w:cs="宋体"/>
          <w:sz w:val="24"/>
          <w:szCs w:val="24"/>
        </w:rPr>
        <w:t>▲</w:t>
      </w:r>
      <w:r>
        <w:rPr>
          <w:rFonts w:ascii="宋体" w:hAnsi="宋体" w:eastAsia="宋体"/>
          <w:sz w:val="24"/>
          <w:szCs w:val="24"/>
        </w:rPr>
        <w:t>可选TCI模式，TCI模式支持</w:t>
      </w:r>
      <w:r>
        <w:rPr>
          <w:rFonts w:hint="eastAsia" w:ascii="宋体" w:hAnsi="宋体" w:eastAsia="宋体"/>
          <w:sz w:val="24"/>
          <w:szCs w:val="24"/>
        </w:rPr>
        <w:t>≥</w:t>
      </w:r>
      <w:r>
        <w:rPr>
          <w:rFonts w:ascii="宋体" w:hAnsi="宋体" w:eastAsia="宋体"/>
          <w:sz w:val="24"/>
          <w:szCs w:val="24"/>
        </w:rPr>
        <w:t>三种药物：丙泊酚，瑞芬太尼，苏芬太尼，</w:t>
      </w:r>
      <w:r>
        <w:rPr>
          <w:rFonts w:ascii="宋体" w:hAnsi="宋体" w:eastAsia="宋体"/>
          <w:color w:val="auto"/>
          <w:sz w:val="24"/>
          <w:szCs w:val="24"/>
        </w:rPr>
        <w:t>支持丙泊酚小儿药代模型</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color w:val="auto"/>
          <w:sz w:val="24"/>
          <w:szCs w:val="24"/>
        </w:rPr>
        <w:t>≥4</w:t>
      </w:r>
      <w:r>
        <w:rPr>
          <w:rFonts w:ascii="宋体" w:hAnsi="宋体" w:eastAsia="宋体"/>
          <w:sz w:val="24"/>
          <w:szCs w:val="24"/>
        </w:rPr>
        <w:t>英寸彩色显示屏，电容触摸屏技术</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支持药物库，可储存5000种药物信息</w:t>
      </w:r>
      <w:r>
        <w:rPr>
          <w:rFonts w:hint="eastAsia" w:ascii="宋体" w:hAnsi="宋体" w:eastAsia="宋体"/>
          <w:sz w:val="24"/>
          <w:szCs w:val="24"/>
        </w:rPr>
        <w:t>，</w:t>
      </w:r>
      <w:r>
        <w:rPr>
          <w:rFonts w:ascii="宋体" w:hAnsi="宋体" w:eastAsia="宋体"/>
          <w:sz w:val="24"/>
          <w:szCs w:val="24"/>
        </w:rPr>
        <w:t>支持药物色彩标识，选择不同类型药物时对应的药物色彩标识自动显示在屏幕上，支持</w:t>
      </w:r>
      <w:r>
        <w:rPr>
          <w:rFonts w:hint="eastAsia" w:ascii="宋体" w:hAnsi="宋体" w:eastAsia="宋体"/>
          <w:sz w:val="24"/>
          <w:szCs w:val="24"/>
        </w:rPr>
        <w:t>≥</w:t>
      </w:r>
      <w:r>
        <w:rPr>
          <w:rFonts w:ascii="宋体" w:hAnsi="宋体" w:eastAsia="宋体"/>
          <w:sz w:val="24"/>
          <w:szCs w:val="24"/>
        </w:rPr>
        <w:t>4种颜色</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在线动态压力监测，可实时显示当前压力数值；压力报警阈值</w:t>
      </w:r>
      <w:r>
        <w:rPr>
          <w:rFonts w:hint="eastAsia" w:ascii="宋体" w:hAnsi="宋体" w:eastAsia="宋体"/>
          <w:sz w:val="24"/>
          <w:szCs w:val="24"/>
        </w:rPr>
        <w:t>≥</w:t>
      </w:r>
      <w:r>
        <w:rPr>
          <w:rFonts w:ascii="宋体" w:hAnsi="宋体" w:eastAsia="宋体"/>
          <w:sz w:val="24"/>
          <w:szCs w:val="24"/>
        </w:rPr>
        <w:t>15档可调，最低可设置50mmHg</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具备阻塞前预警提示功能，当管路压力未触发阻塞报警时，泵可自动识别压力上升并在屏幕上进行提示</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具备阻塞后自动重启输液功能，短暂性阻塞触发报警后，泵检测到阻塞压力缓解时，无需人为干预，泵自动重新启动输液</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信息储存：可存储5000条的历史记录</w:t>
      </w:r>
    </w:p>
    <w:p>
      <w:pPr>
        <w:pStyle w:val="54"/>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电池工作时间≥</w:t>
      </w:r>
      <w:r>
        <w:rPr>
          <w:rFonts w:hint="eastAsia" w:ascii="宋体" w:hAnsi="宋体" w:eastAsia="宋体"/>
          <w:sz w:val="24"/>
          <w:szCs w:val="24"/>
        </w:rPr>
        <w:t>6.5</w:t>
      </w:r>
      <w:r>
        <w:rPr>
          <w:rFonts w:ascii="宋体" w:hAnsi="宋体" w:eastAsia="宋体"/>
          <w:sz w:val="24"/>
          <w:szCs w:val="24"/>
        </w:rPr>
        <w:t>小时@5ml/h</w:t>
      </w:r>
      <w:r>
        <w:rPr>
          <w:rFonts w:hint="eastAsia" w:ascii="宋体" w:hAnsi="宋体" w:eastAsia="宋体"/>
          <w:sz w:val="24"/>
          <w:szCs w:val="24"/>
        </w:rPr>
        <w:t>，</w:t>
      </w:r>
      <w:r>
        <w:rPr>
          <w:rFonts w:ascii="宋体" w:hAnsi="宋体" w:eastAsia="宋体"/>
          <w:sz w:val="24"/>
          <w:szCs w:val="24"/>
        </w:rPr>
        <w:t>防异物及进液等级IP44</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b/>
          <w:sz w:val="24"/>
          <w:szCs w:val="24"/>
        </w:rPr>
        <w:t>输液泵</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整机使用期限≥10年</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输液泵通过三类注册证</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支持输血功能</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可升级肠内营养液输液功能</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输液精度≤</w:t>
      </w: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速率范围：0.1-2000ml/h, 最小步进0.01ml/h</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快进流速范围：0.1-2000ml/h，具有自动和手动快进可选；</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可自动统计四种累计量：24h累计量、最近累计量、自定义时间段累计量、定时间隔累计量</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8种输液模式：速度模式、时间模式、体重模式、梯度模式、序列模式、剂量时间模式、和间断给药模式、点滴模式</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支持镇痛药、化疗药、胰岛素输注</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可选时辰给药模式，适用于肿瘤科输注化疗药物</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sz w:val="24"/>
          <w:szCs w:val="24"/>
        </w:rPr>
        <w:t>≥</w:t>
      </w:r>
      <w:r>
        <w:rPr>
          <w:rFonts w:hint="eastAsia" w:ascii="宋体" w:hAnsi="宋体" w:eastAsia="宋体"/>
          <w:color w:val="auto"/>
          <w:sz w:val="24"/>
          <w:szCs w:val="24"/>
        </w:rPr>
        <w:t>4</w:t>
      </w:r>
      <w:r>
        <w:rPr>
          <w:rFonts w:ascii="宋体" w:hAnsi="宋体" w:eastAsia="宋体"/>
          <w:sz w:val="24"/>
          <w:szCs w:val="24"/>
        </w:rPr>
        <w:t>英寸彩色显示屏，电容触摸屏技术</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支持药物库，可储存</w:t>
      </w:r>
      <w:r>
        <w:rPr>
          <w:rFonts w:hint="eastAsia" w:ascii="宋体" w:hAnsi="宋体" w:eastAsia="宋体"/>
          <w:sz w:val="24"/>
          <w:szCs w:val="24"/>
        </w:rPr>
        <w:t>≥</w:t>
      </w:r>
      <w:r>
        <w:rPr>
          <w:rFonts w:ascii="宋体" w:hAnsi="宋体" w:eastAsia="宋体"/>
          <w:sz w:val="24"/>
          <w:szCs w:val="24"/>
        </w:rPr>
        <w:t>5000种药物信息</w:t>
      </w:r>
      <w:r>
        <w:rPr>
          <w:rFonts w:hint="eastAsia" w:ascii="宋体" w:hAnsi="宋体" w:eastAsia="宋体"/>
          <w:sz w:val="24"/>
          <w:szCs w:val="24"/>
        </w:rPr>
        <w:t>，</w:t>
      </w:r>
      <w:r>
        <w:rPr>
          <w:rFonts w:ascii="宋体" w:hAnsi="宋体" w:eastAsia="宋体"/>
          <w:sz w:val="24"/>
          <w:szCs w:val="24"/>
        </w:rPr>
        <w:t>支持药物色彩标识，选择不同类型药物时对应的药物色彩标识自动显示在屏幕上，支持</w:t>
      </w:r>
      <w:r>
        <w:rPr>
          <w:rFonts w:hint="eastAsia" w:ascii="宋体" w:hAnsi="宋体" w:eastAsia="宋体"/>
          <w:sz w:val="24"/>
          <w:szCs w:val="24"/>
        </w:rPr>
        <w:t>≥</w:t>
      </w:r>
      <w:r>
        <w:rPr>
          <w:rFonts w:ascii="宋体" w:hAnsi="宋体" w:eastAsia="宋体"/>
          <w:sz w:val="24"/>
          <w:szCs w:val="24"/>
        </w:rPr>
        <w:t>4种颜色</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在线动态压力监测，可实时显示当前压力数值；压力报警阈值</w:t>
      </w:r>
      <w:r>
        <w:rPr>
          <w:rFonts w:hint="eastAsia" w:ascii="宋体" w:hAnsi="宋体" w:eastAsia="宋体"/>
          <w:sz w:val="24"/>
          <w:szCs w:val="24"/>
        </w:rPr>
        <w:t>≥</w:t>
      </w:r>
      <w:r>
        <w:rPr>
          <w:rFonts w:ascii="宋体" w:hAnsi="宋体" w:eastAsia="宋体"/>
          <w:sz w:val="24"/>
          <w:szCs w:val="24"/>
        </w:rPr>
        <w:t>15档可调，最低可设置50mmHg</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具备阻塞前预警提示功能，当管路压力未触发阻塞报警时，泵可自动识别压力上升并在屏幕上进行提示</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sz w:val="24"/>
          <w:szCs w:val="24"/>
        </w:rPr>
        <w:t>具备阻塞后自动重启输液功能，短暂性阻塞触发报警后，泵检测到阻塞压力缓解时，无需人为干预，泵自动重新启动输液</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hint="eastAsia" w:ascii="宋体" w:hAnsi="宋体" w:eastAsia="宋体" w:cs="宋体"/>
          <w:sz w:val="24"/>
          <w:szCs w:val="24"/>
        </w:rPr>
        <w:t>▲</w:t>
      </w:r>
      <w:r>
        <w:rPr>
          <w:rFonts w:ascii="宋体" w:hAnsi="宋体" w:eastAsia="宋体"/>
          <w:sz w:val="24"/>
          <w:szCs w:val="24"/>
        </w:rPr>
        <w:t>具备单个气泡和累积气泡报警功能，支持</w:t>
      </w:r>
      <w:r>
        <w:rPr>
          <w:rFonts w:hint="eastAsia" w:ascii="宋体" w:hAnsi="宋体" w:eastAsia="宋体"/>
          <w:sz w:val="24"/>
          <w:szCs w:val="24"/>
        </w:rPr>
        <w:t>≤</w:t>
      </w:r>
      <w:r>
        <w:rPr>
          <w:rFonts w:ascii="宋体" w:hAnsi="宋体" w:eastAsia="宋体"/>
          <w:sz w:val="24"/>
          <w:szCs w:val="24"/>
        </w:rPr>
        <w:t>15μL的单个气泡报警</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color w:val="auto"/>
          <w:sz w:val="24"/>
          <w:szCs w:val="24"/>
        </w:rPr>
      </w:pPr>
      <w:r>
        <w:rPr>
          <w:rFonts w:ascii="宋体" w:hAnsi="宋体" w:eastAsia="宋体"/>
          <w:sz w:val="24"/>
          <w:szCs w:val="24"/>
        </w:rPr>
        <w:t>信息储存：可存</w:t>
      </w:r>
      <w:r>
        <w:rPr>
          <w:rFonts w:ascii="宋体" w:hAnsi="宋体" w:eastAsia="宋体"/>
          <w:color w:val="auto"/>
          <w:sz w:val="24"/>
          <w:szCs w:val="24"/>
        </w:rPr>
        <w:t>储</w:t>
      </w:r>
      <w:r>
        <w:rPr>
          <w:rFonts w:hint="eastAsia" w:ascii="宋体" w:hAnsi="宋体" w:eastAsia="宋体"/>
          <w:color w:val="auto"/>
          <w:sz w:val="24"/>
          <w:szCs w:val="24"/>
        </w:rPr>
        <w:t>≥</w:t>
      </w:r>
      <w:r>
        <w:rPr>
          <w:rFonts w:ascii="宋体" w:hAnsi="宋体" w:eastAsia="宋体"/>
          <w:color w:val="auto"/>
          <w:sz w:val="24"/>
          <w:szCs w:val="24"/>
        </w:rPr>
        <w:t>5000条的历史记录</w:t>
      </w:r>
    </w:p>
    <w:p>
      <w:pPr>
        <w:pStyle w:val="54"/>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0" w:firstLineChars="0"/>
        <w:textAlignment w:val="auto"/>
        <w:rPr>
          <w:rFonts w:ascii="宋体" w:hAnsi="宋体" w:eastAsia="宋体"/>
          <w:sz w:val="24"/>
          <w:szCs w:val="24"/>
        </w:rPr>
      </w:pPr>
      <w:r>
        <w:rPr>
          <w:rFonts w:ascii="宋体" w:hAnsi="宋体" w:eastAsia="宋体"/>
          <w:color w:val="auto"/>
          <w:sz w:val="24"/>
          <w:szCs w:val="24"/>
        </w:rPr>
        <w:t>电池工作时间≥</w:t>
      </w:r>
      <w:r>
        <w:rPr>
          <w:rFonts w:hint="eastAsia" w:ascii="宋体" w:hAnsi="宋体" w:eastAsia="宋体"/>
          <w:color w:val="auto"/>
          <w:sz w:val="24"/>
          <w:szCs w:val="24"/>
        </w:rPr>
        <w:t>6</w:t>
      </w:r>
      <w:r>
        <w:rPr>
          <w:rFonts w:ascii="宋体" w:hAnsi="宋体" w:eastAsia="宋体"/>
          <w:sz w:val="24"/>
          <w:szCs w:val="24"/>
        </w:rPr>
        <w:t>小时@25ml/h</w:t>
      </w:r>
    </w:p>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left"/>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02包 医用观片灯</w:t>
      </w:r>
    </w:p>
    <w:p>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1.电源要求</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输入电压AC220V±10% 50/60Hz；</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2.电气安全性：符合国家标准GB9706.1或GB4793.1</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▲3.背光灯采用LED技术，LED灯寿命5-10万小时；</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4.亮度差≤20%</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▲5.光亮度200-4500cd/m2,光源色温：≥10000K;</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▲6.观察屏载入胶片亮度区域亮度均匀性：≥90％</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7.特殊要求：</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7.1 电源开关开启后观察屏无需预热即可达到最高亮度。</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7.2 亮度调节方式：电位器开关式连续调节。</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8．性能要求</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8.1 节能：采用LED节能光源。</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8.2 无频闪：光源稳定无闪烁。</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8.3 无电磁辐射：产品不含电磁辐射。</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8.4 色温稳定：色温值固定。</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8.5 光强度分布均匀：灯箱各个位置亮度一致，没有暗区。</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9.胶片插片载入方式</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9.1 夹片结构无空段</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9.2 夹片牢固：胶片固定良好，不易掉落。</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9.3 取片灵活方便：直接取下胶片即可。</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▲9.4 采用滚针加滚珠自锁式夹片机构</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▲10. 双联：2 张14×17 英寸胶片竖式并列载入，观察屏载入胶片亮度部分的左右和下部没有多余部分和漏光部分。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11.观片灯外部箱体要求：</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11.1 采用优质铝合金表面喷塑型材和/或工程塑料型材。</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11.2 型材表面亚光设计。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11.3 观片灯箱体背板材质：采用金属表面喷塑型材，要求材质表面整洁，无尖锐突起，不损伤墙体。</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11.4 观片灯箱体厚度：≤25毫米。</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11.5 观片灯箱体背板具备悬挂功能和配件(螺丝等、膨胀塞等)。</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12．提供防漏电措施。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default"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01包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1.3交货期：签订合同后，按照医院需求供货，接到医院订货通知后15日内交货。</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2.1质保期：01包保修期≥5年。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3.1据实结算，</w:t>
      </w:r>
      <w:r>
        <w:rPr>
          <w:rFonts w:hint="default" w:cs="Times New Roman" w:asciiTheme="minorEastAsia" w:hAnsiTheme="minorEastAsia" w:eastAsiaTheme="minorEastAsia"/>
          <w:color w:val="auto"/>
          <w:kern w:val="2"/>
          <w:sz w:val="24"/>
          <w:szCs w:val="24"/>
          <w:lang w:val="en-US" w:eastAsia="zh-CN" w:bidi="ar-SA"/>
        </w:rPr>
        <w:t>验收合格并收到发票后1个月内支付</w:t>
      </w:r>
      <w:r>
        <w:rPr>
          <w:rFonts w:hint="eastAsia" w:cs="Times New Roman" w:asciiTheme="minorEastAsia" w:hAnsiTheme="minorEastAsia" w:eastAsiaTheme="minorEastAsia"/>
          <w:color w:val="auto"/>
          <w:kern w:val="2"/>
          <w:sz w:val="24"/>
          <w:szCs w:val="24"/>
          <w:lang w:val="en-US" w:eastAsia="zh-CN" w:bidi="ar-SA"/>
        </w:rPr>
        <w:t>实际采购金额</w:t>
      </w:r>
      <w:r>
        <w:rPr>
          <w:rFonts w:hint="default" w:cs="Times New Roman" w:asciiTheme="minorEastAsia" w:hAnsiTheme="minorEastAsia" w:eastAsiaTheme="minorEastAsia"/>
          <w:color w:val="auto"/>
          <w:kern w:val="2"/>
          <w:sz w:val="24"/>
          <w:szCs w:val="24"/>
          <w:lang w:val="en-US" w:eastAsia="zh-CN" w:bidi="ar-SA"/>
        </w:rPr>
        <w:t>的100%。</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3.2付款方式：转账、电汇等非现金方式。</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pStyle w:val="23"/>
        <w:ind w:left="0" w:leftChars="0" w:firstLine="0" w:firstLineChars="0"/>
        <w:rPr>
          <w:rFonts w:hint="eastAsia"/>
          <w:b/>
          <w:bCs/>
          <w:lang w:val="en-US" w:eastAsia="zh-CN"/>
        </w:rPr>
      </w:pPr>
      <w:r>
        <w:rPr>
          <w:rFonts w:hint="eastAsia"/>
          <w:b/>
          <w:bCs/>
          <w:lang w:val="en-US" w:eastAsia="zh-CN"/>
        </w:rPr>
        <w:t>02包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1.交货期：</w:t>
      </w:r>
      <w:r>
        <w:rPr>
          <w:rFonts w:hint="eastAsia" w:cs="Times New Roman" w:asciiTheme="minorEastAsia" w:hAnsiTheme="minorEastAsia" w:eastAsiaTheme="minorEastAsia"/>
          <w:color w:val="auto"/>
          <w:kern w:val="2"/>
          <w:sz w:val="24"/>
          <w:szCs w:val="24"/>
          <w:lang w:val="en-US" w:eastAsia="zh-CN" w:bidi="ar-SA"/>
        </w:rPr>
        <w:t>签订合同后，按照医院需求供货，接到医院订货通知后15日内交货。</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2.交货地点：三台县人民医院指定地点。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3.质保期：≥1年，如国家或行业标准期限长于本项目质保期的，按国家或行业标准执行。</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4.付款方式：</w:t>
      </w:r>
      <w:r>
        <w:rPr>
          <w:rFonts w:hint="eastAsia" w:cs="Times New Roman" w:asciiTheme="minorEastAsia" w:hAnsiTheme="minorEastAsia" w:eastAsiaTheme="minorEastAsia"/>
          <w:color w:val="auto"/>
          <w:kern w:val="2"/>
          <w:sz w:val="24"/>
          <w:szCs w:val="24"/>
          <w:lang w:val="en-US" w:eastAsia="zh-CN" w:bidi="ar-SA"/>
        </w:rPr>
        <w:t>据实结算，</w:t>
      </w:r>
      <w:r>
        <w:rPr>
          <w:rFonts w:hint="default" w:cs="Times New Roman" w:asciiTheme="minorEastAsia" w:hAnsiTheme="minorEastAsia" w:eastAsiaTheme="minorEastAsia"/>
          <w:color w:val="auto"/>
          <w:kern w:val="2"/>
          <w:sz w:val="24"/>
          <w:szCs w:val="24"/>
          <w:lang w:val="en-US" w:eastAsia="zh-CN" w:bidi="ar-SA"/>
        </w:rPr>
        <w:t>验收合格并收到发票后1个月内支付</w:t>
      </w:r>
      <w:r>
        <w:rPr>
          <w:rFonts w:hint="eastAsia" w:cs="Times New Roman" w:asciiTheme="minorEastAsia" w:hAnsiTheme="minorEastAsia" w:eastAsiaTheme="minorEastAsia"/>
          <w:color w:val="auto"/>
          <w:kern w:val="2"/>
          <w:sz w:val="24"/>
          <w:szCs w:val="24"/>
          <w:lang w:val="en-US" w:eastAsia="zh-CN" w:bidi="ar-SA"/>
        </w:rPr>
        <w:t>实际采购金额</w:t>
      </w:r>
      <w:r>
        <w:rPr>
          <w:rFonts w:hint="default" w:cs="Times New Roman" w:asciiTheme="minorEastAsia" w:hAnsiTheme="minorEastAsia" w:eastAsiaTheme="minorEastAsia"/>
          <w:color w:val="auto"/>
          <w:kern w:val="2"/>
          <w:sz w:val="24"/>
          <w:szCs w:val="24"/>
          <w:lang w:val="en-US" w:eastAsia="zh-CN" w:bidi="ar-SA"/>
        </w:rPr>
        <w:t>的100%。</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default" w:cs="Times New Roman" w:asciiTheme="minorEastAsia" w:hAnsiTheme="minorEastAsia" w:eastAsiaTheme="minorEastAsia"/>
          <w:color w:val="auto"/>
          <w:kern w:val="2"/>
          <w:sz w:val="24"/>
          <w:szCs w:val="24"/>
          <w:lang w:val="en-US" w:eastAsia="zh-CN" w:bidi="ar-SA"/>
        </w:rPr>
      </w:pPr>
      <w:r>
        <w:rPr>
          <w:rFonts w:hint="default" w:cs="Times New Roman" w:asciiTheme="minorEastAsia" w:hAnsiTheme="minorEastAsia" w:eastAsiaTheme="minorEastAsia"/>
          <w:color w:val="auto"/>
          <w:kern w:val="2"/>
          <w:sz w:val="24"/>
          <w:szCs w:val="24"/>
          <w:lang w:val="en-US" w:eastAsia="zh-CN" w:bidi="ar-SA"/>
        </w:rPr>
        <w:t>5.售后服务：保修期内接到报修电话半小时内响应，远程不能有效解决问题，24小时内到达现场，所有人工费、材料费、差旅费等各种费用由中标方支付。终生维修。保修期外费用双方协商确定。</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Times New Roman" w:hAnsi="Times New Roman"/>
          <w:sz w:val="32"/>
          <w:szCs w:val="32"/>
          <w:lang w:eastAsia="zh-CN"/>
        </w:rPr>
      </w:pPr>
      <w:bookmarkStart w:id="9" w:name="_Toc520455385"/>
      <w:r>
        <w:rPr>
          <w:rFonts w:hint="eastAsia" w:asciiTheme="minorEastAsia" w:hAnsiTheme="minorEastAsia" w:eastAsiaTheme="minorEastAsia"/>
          <w:b/>
          <w:color w:val="auto"/>
          <w:kern w:val="0"/>
          <w:sz w:val="24"/>
        </w:rPr>
        <w:t>▲注：所有的商务要求均为实质性要求，负偏离将导致响应文件无效。</w:t>
      </w:r>
    </w:p>
    <w:p>
      <w:pPr>
        <w:rPr>
          <w:rFonts w:hint="eastAsia" w:ascii="Times New Roman" w:hAnsi="Times New Roman"/>
          <w:sz w:val="32"/>
          <w:szCs w:val="32"/>
          <w:lang w:eastAsia="zh-CN"/>
        </w:rPr>
      </w:pPr>
      <w:r>
        <w:rPr>
          <w:rFonts w:hint="eastAsia" w:ascii="Times New Roman" w:hAnsi="Times New Roman"/>
          <w:sz w:val="32"/>
          <w:szCs w:val="32"/>
          <w:lang w:eastAsia="zh-CN"/>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22</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3</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spacing w:line="360" w:lineRule="auto"/>
        <w:jc w:val="left"/>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jc w:val="left"/>
        <w:rPr>
          <w:rFonts w:hint="default" w:ascii="宋体" w:hAnsi="宋体" w:eastAsia="宋体" w:cs="Times New Roman"/>
          <w:b/>
          <w:bCs/>
          <w:color w:val="auto"/>
          <w:kern w:val="2"/>
          <w:sz w:val="21"/>
          <w:szCs w:val="21"/>
          <w:lang w:val="en-US" w:eastAsia="zh-CN" w:bidi="ar-SA"/>
        </w:rPr>
      </w:pPr>
      <w:r>
        <w:rPr>
          <w:rFonts w:ascii="Times New Roman" w:hAnsi="Times New Roman"/>
          <w:b/>
          <w:bCs/>
          <w:color w:val="auto"/>
          <w:kern w:val="0"/>
          <w:sz w:val="24"/>
          <w:szCs w:val="20"/>
        </w:rPr>
        <w:t>综合评分明细表</w:t>
      </w:r>
      <w:bookmarkEnd w:id="9"/>
      <w:r>
        <w:rPr>
          <w:rFonts w:hint="eastAsia" w:ascii="Times New Roman" w:hAnsi="Times New Roman"/>
          <w:b/>
          <w:bCs/>
          <w:color w:val="auto"/>
          <w:kern w:val="0"/>
          <w:sz w:val="24"/>
          <w:szCs w:val="20"/>
          <w:lang w:val="en-US" w:eastAsia="zh-CN"/>
        </w:rPr>
        <w:t xml:space="preserve"> 01包</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60</w:t>
            </w:r>
            <w:r>
              <w:rPr>
                <w:rFonts w:ascii="宋体" w:hAnsi="宋体"/>
                <w:color w:val="000000" w:themeColor="text1"/>
                <w:sz w:val="24"/>
                <w:szCs w:val="24"/>
                <w14:textFill>
                  <w14:solidFill>
                    <w14:schemeClr w14:val="tx1"/>
                  </w14:solidFill>
                </w14:textFill>
              </w:rPr>
              <w:t>分；星号条款(标注▲)的技术参数，一条不满足扣</w:t>
            </w:r>
            <w:r>
              <w:rPr>
                <w:rFonts w:hint="eastAsia" w:ascii="宋体" w:hAnsi="宋体"/>
                <w:color w:val="000000" w:themeColor="text1"/>
                <w:sz w:val="24"/>
                <w:szCs w:val="24"/>
                <w:lang w:val="en-US" w:eastAsia="zh-CN"/>
                <w14:textFill>
                  <w14:solidFill>
                    <w14:schemeClr w14:val="tx1"/>
                  </w14:solidFill>
                </w14:textFill>
              </w:rPr>
              <w:t>3.7</w:t>
            </w:r>
            <w:r>
              <w:rPr>
                <w:rFonts w:ascii="宋体" w:hAnsi="宋体"/>
                <w:color w:val="000000" w:themeColor="text1"/>
                <w:sz w:val="24"/>
                <w:szCs w:val="24"/>
                <w14:textFill>
                  <w14:solidFill>
                    <w14:schemeClr w14:val="tx1"/>
                  </w14:solidFill>
                </w14:textFill>
              </w:rPr>
              <w:t>分，非星号条款的技术参数，一条不满足扣</w:t>
            </w:r>
            <w:r>
              <w:rPr>
                <w:rFonts w:hint="eastAsia" w:ascii="宋体" w:hAnsi="宋体"/>
                <w:color w:val="000000" w:themeColor="text1"/>
                <w:sz w:val="24"/>
                <w:szCs w:val="24"/>
                <w:lang w:val="en-US" w:eastAsia="zh-CN"/>
                <w14:textFill>
                  <w14:solidFill>
                    <w14:schemeClr w14:val="tx1"/>
                  </w14:solidFill>
                </w14:textFill>
              </w:rPr>
              <w:t>0.2</w:t>
            </w:r>
            <w:r>
              <w:rPr>
                <w:rFonts w:ascii="宋体" w:hAnsi="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bookmarkEnd w:id="7"/>
    <w:bookmarkEnd w:id="8"/>
    <w:p>
      <w:pPr>
        <w:widowControl/>
        <w:adjustRightInd w:val="0"/>
        <w:snapToGrid w:val="0"/>
        <w:spacing w:line="400" w:lineRule="exact"/>
        <w:jc w:val="left"/>
        <w:rPr>
          <w:rFonts w:hint="default" w:ascii="宋体" w:hAnsi="宋体" w:eastAsia="宋体" w:cs="Times New Roman"/>
          <w:b/>
          <w:bCs/>
          <w:color w:val="auto"/>
          <w:kern w:val="2"/>
          <w:sz w:val="21"/>
          <w:szCs w:val="21"/>
          <w:lang w:val="en-US" w:eastAsia="zh-CN" w:bidi="ar-SA"/>
        </w:rPr>
      </w:pPr>
      <w:r>
        <w:rPr>
          <w:rFonts w:ascii="Times New Roman" w:hAnsi="Times New Roman"/>
          <w:kern w:val="0"/>
          <w:sz w:val="24"/>
          <w:szCs w:val="24"/>
          <w:lang w:val="zh-CN"/>
        </w:rPr>
        <w:br w:type="page"/>
      </w: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02包</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60</w:t>
            </w:r>
            <w:r>
              <w:rPr>
                <w:rFonts w:ascii="宋体" w:hAnsi="宋体"/>
                <w:color w:val="000000" w:themeColor="text1"/>
                <w:sz w:val="24"/>
                <w:szCs w:val="24"/>
                <w14:textFill>
                  <w14:solidFill>
                    <w14:schemeClr w14:val="tx1"/>
                  </w14:solidFill>
                </w14:textFill>
              </w:rPr>
              <w:t>分；星号条款(标注▲)的技术参数，一条不满足扣</w:t>
            </w:r>
            <w:r>
              <w:rPr>
                <w:rFonts w:hint="eastAsia" w:ascii="宋体" w:hAnsi="宋体"/>
                <w:color w:val="000000" w:themeColor="text1"/>
                <w:sz w:val="24"/>
                <w:szCs w:val="24"/>
                <w:lang w:val="en-US" w:eastAsia="zh-CN"/>
                <w14:textFill>
                  <w14:solidFill>
                    <w14:schemeClr w14:val="tx1"/>
                  </w14:solidFill>
                </w14:textFill>
              </w:rPr>
              <w:t>4.4</w:t>
            </w:r>
            <w:r>
              <w:rPr>
                <w:rFonts w:ascii="宋体" w:hAnsi="宋体"/>
                <w:color w:val="000000" w:themeColor="text1"/>
                <w:sz w:val="24"/>
                <w:szCs w:val="24"/>
                <w14:textFill>
                  <w14:solidFill>
                    <w14:schemeClr w14:val="tx1"/>
                  </w14:solidFill>
                </w14:textFill>
              </w:rPr>
              <w:t>分，非星号条款的技术参数，一条不满足扣</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ascii="Times New Roman" w:hAnsi="Times New Roman"/>
          <w:kern w:val="0"/>
          <w:sz w:val="24"/>
          <w:szCs w:val="24"/>
          <w:lang w:val="zh-CN"/>
        </w:rPr>
      </w:pPr>
      <w:r>
        <w:rPr>
          <w:rFonts w:ascii="Times New Roman" w:hAnsi="Times New Roman"/>
          <w:kern w:val="0"/>
          <w:sz w:val="24"/>
          <w:szCs w:val="24"/>
          <w:lang w:val="zh-CN"/>
        </w:rPr>
        <w:br w:type="page"/>
      </w:r>
    </w:p>
    <w:p>
      <w:pP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34051805"/>
      <w:bookmarkStart w:id="11" w:name="_Toc52036326"/>
      <w:bookmarkStart w:id="12" w:name="_Toc33698132"/>
      <w:bookmarkStart w:id="13" w:name="_Toc40447267"/>
      <w:bookmarkStart w:id="14" w:name="_Toc33709793"/>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33709794"/>
      <w:bookmarkStart w:id="17" w:name="_Toc52036327"/>
      <w:bookmarkStart w:id="18" w:name="_Toc40447268"/>
      <w:bookmarkStart w:id="19" w:name="_Toc33698133"/>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52036328"/>
      <w:bookmarkStart w:id="23" w:name="_Toc33698134"/>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4051808"/>
      <w:bookmarkStart w:id="26" w:name="_Toc33698135"/>
      <w:bookmarkStart w:id="27" w:name="_Toc52036329"/>
      <w:bookmarkStart w:id="28" w:name="_Toc33709796"/>
      <w:bookmarkStart w:id="29" w:name="_Toc40447270"/>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404120"/>
      <w:bookmarkStart w:id="31" w:name="_Toc436820890"/>
      <w:bookmarkStart w:id="32" w:name="_Toc436385992"/>
      <w:bookmarkStart w:id="33" w:name="_Toc30756488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6415"/>
      <w:bookmarkStart w:id="37" w:name="_Toc503987104"/>
      <w:bookmarkStart w:id="38" w:name="_Toc503986838"/>
      <w:bookmarkStart w:id="39" w:name="_Toc503987293"/>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33709797"/>
      <w:bookmarkStart w:id="42" w:name="_Toc52036330"/>
      <w:bookmarkStart w:id="43" w:name="_Toc33698136"/>
      <w:bookmarkStart w:id="44" w:name="_Toc34051809"/>
      <w:bookmarkStart w:id="45" w:name="_Toc40447271"/>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40447272"/>
      <w:bookmarkStart w:id="48" w:name="_Toc52036331"/>
      <w:bookmarkStart w:id="49" w:name="_Toc34051810"/>
      <w:bookmarkStart w:id="50" w:name="_Toc33709798"/>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9" w:usb3="00000000" w:csb0="2000019F" w:csb1="00000000"/>
  </w:font>
  <w:font w:name="Cambria">
    <w:panose1 w:val="020405030504060A0204"/>
    <w:charset w:val="00"/>
    <w:family w:val="roman"/>
    <w:pitch w:val="default"/>
    <w:sig w:usb0="E00002FF" w:usb1="4000045F"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901E9"/>
    <w:multiLevelType w:val="multilevel"/>
    <w:tmpl w:val="23D901E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6D3A04"/>
    <w:multiLevelType w:val="multilevel"/>
    <w:tmpl w:val="276D3A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F70903"/>
    <w:multiLevelType w:val="multilevel"/>
    <w:tmpl w:val="68F709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YjQ1ZTBiYjA5ZmVjNzc5MWE0Y2Q2MzdiYjZhYzY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1DF2CC2"/>
    <w:rsid w:val="01EC20B3"/>
    <w:rsid w:val="03AF03B5"/>
    <w:rsid w:val="04425921"/>
    <w:rsid w:val="044E2BE0"/>
    <w:rsid w:val="04811B11"/>
    <w:rsid w:val="04E70C2A"/>
    <w:rsid w:val="04EB48D3"/>
    <w:rsid w:val="066C2850"/>
    <w:rsid w:val="074C4016"/>
    <w:rsid w:val="081818DF"/>
    <w:rsid w:val="082E244F"/>
    <w:rsid w:val="08415C90"/>
    <w:rsid w:val="0889683A"/>
    <w:rsid w:val="0AFA5A96"/>
    <w:rsid w:val="0B6010B4"/>
    <w:rsid w:val="0CD27FFC"/>
    <w:rsid w:val="0D0F4ED6"/>
    <w:rsid w:val="0DA72122"/>
    <w:rsid w:val="0DAC4D70"/>
    <w:rsid w:val="0E677033"/>
    <w:rsid w:val="0E7F1957"/>
    <w:rsid w:val="0EA63619"/>
    <w:rsid w:val="0F977FCF"/>
    <w:rsid w:val="0F994434"/>
    <w:rsid w:val="109160DD"/>
    <w:rsid w:val="112278CE"/>
    <w:rsid w:val="113411C1"/>
    <w:rsid w:val="113B16DB"/>
    <w:rsid w:val="131B0AE4"/>
    <w:rsid w:val="14E84654"/>
    <w:rsid w:val="151614F8"/>
    <w:rsid w:val="15200185"/>
    <w:rsid w:val="15304B56"/>
    <w:rsid w:val="15EA028F"/>
    <w:rsid w:val="16CA07EC"/>
    <w:rsid w:val="17122347"/>
    <w:rsid w:val="17F6222D"/>
    <w:rsid w:val="18461C09"/>
    <w:rsid w:val="197131A1"/>
    <w:rsid w:val="198C1D89"/>
    <w:rsid w:val="1A571CAA"/>
    <w:rsid w:val="1A5F667C"/>
    <w:rsid w:val="1A857EDA"/>
    <w:rsid w:val="1B266D2D"/>
    <w:rsid w:val="1B4D05AA"/>
    <w:rsid w:val="1BAC4722"/>
    <w:rsid w:val="1C281231"/>
    <w:rsid w:val="1C88336B"/>
    <w:rsid w:val="1CB57848"/>
    <w:rsid w:val="1CBF41C4"/>
    <w:rsid w:val="1DA63635"/>
    <w:rsid w:val="1E0A001A"/>
    <w:rsid w:val="1E3B66CA"/>
    <w:rsid w:val="1E5F07E5"/>
    <w:rsid w:val="1E9B5F74"/>
    <w:rsid w:val="1E9B60F4"/>
    <w:rsid w:val="1F1D0593"/>
    <w:rsid w:val="1F2324A2"/>
    <w:rsid w:val="1F4802F5"/>
    <w:rsid w:val="1F837174"/>
    <w:rsid w:val="1F8B2AE2"/>
    <w:rsid w:val="1FAE4192"/>
    <w:rsid w:val="1FDE786A"/>
    <w:rsid w:val="1FE401DF"/>
    <w:rsid w:val="209A3ACA"/>
    <w:rsid w:val="20A2053B"/>
    <w:rsid w:val="20D42641"/>
    <w:rsid w:val="20D54F08"/>
    <w:rsid w:val="20E829B6"/>
    <w:rsid w:val="20ED7DFF"/>
    <w:rsid w:val="21A63C04"/>
    <w:rsid w:val="21F51B2A"/>
    <w:rsid w:val="22034BB2"/>
    <w:rsid w:val="22BC4191"/>
    <w:rsid w:val="22CA3482"/>
    <w:rsid w:val="22F31C41"/>
    <w:rsid w:val="23A6613D"/>
    <w:rsid w:val="247F6619"/>
    <w:rsid w:val="24F96C22"/>
    <w:rsid w:val="260B04D9"/>
    <w:rsid w:val="26463681"/>
    <w:rsid w:val="271909D4"/>
    <w:rsid w:val="27457A1B"/>
    <w:rsid w:val="28A10C81"/>
    <w:rsid w:val="28D32E27"/>
    <w:rsid w:val="28E15521"/>
    <w:rsid w:val="2932082A"/>
    <w:rsid w:val="29A7364C"/>
    <w:rsid w:val="2A09060E"/>
    <w:rsid w:val="2A092A55"/>
    <w:rsid w:val="2A5211A7"/>
    <w:rsid w:val="2A8E16D9"/>
    <w:rsid w:val="2A8F0012"/>
    <w:rsid w:val="2AAD6003"/>
    <w:rsid w:val="2B410686"/>
    <w:rsid w:val="2B970CE2"/>
    <w:rsid w:val="2BD0497A"/>
    <w:rsid w:val="2BF11E95"/>
    <w:rsid w:val="2BFC0981"/>
    <w:rsid w:val="2C1354E0"/>
    <w:rsid w:val="2CCC357C"/>
    <w:rsid w:val="2CF531C9"/>
    <w:rsid w:val="2D7C46D0"/>
    <w:rsid w:val="2E222864"/>
    <w:rsid w:val="2F1239C7"/>
    <w:rsid w:val="2F5D26AF"/>
    <w:rsid w:val="2FB70420"/>
    <w:rsid w:val="30D81900"/>
    <w:rsid w:val="314A1EAB"/>
    <w:rsid w:val="31B9528D"/>
    <w:rsid w:val="32B819E9"/>
    <w:rsid w:val="32C77752"/>
    <w:rsid w:val="32CD2AF9"/>
    <w:rsid w:val="32DD31FD"/>
    <w:rsid w:val="32E80129"/>
    <w:rsid w:val="337B48B4"/>
    <w:rsid w:val="33D16649"/>
    <w:rsid w:val="3410163B"/>
    <w:rsid w:val="352C0BF7"/>
    <w:rsid w:val="35AC6B2A"/>
    <w:rsid w:val="35CD57AB"/>
    <w:rsid w:val="35DF103A"/>
    <w:rsid w:val="3609706D"/>
    <w:rsid w:val="36533F02"/>
    <w:rsid w:val="36F100CE"/>
    <w:rsid w:val="37164E99"/>
    <w:rsid w:val="377F0D27"/>
    <w:rsid w:val="379D03B6"/>
    <w:rsid w:val="3839273F"/>
    <w:rsid w:val="38413512"/>
    <w:rsid w:val="38FD63A7"/>
    <w:rsid w:val="39202673"/>
    <w:rsid w:val="3A0E0140"/>
    <w:rsid w:val="3A0E6217"/>
    <w:rsid w:val="3A83468A"/>
    <w:rsid w:val="3AB16C65"/>
    <w:rsid w:val="3B091F0D"/>
    <w:rsid w:val="3B8A7AB4"/>
    <w:rsid w:val="3BB07701"/>
    <w:rsid w:val="3BE1743B"/>
    <w:rsid w:val="3BF758E5"/>
    <w:rsid w:val="3C0E0AC9"/>
    <w:rsid w:val="3C1D522E"/>
    <w:rsid w:val="3C693B9A"/>
    <w:rsid w:val="3C8B3CCA"/>
    <w:rsid w:val="3CF4186F"/>
    <w:rsid w:val="3D4E0F7F"/>
    <w:rsid w:val="3E5C147A"/>
    <w:rsid w:val="3E6946D7"/>
    <w:rsid w:val="3F3026AC"/>
    <w:rsid w:val="3FDC7247"/>
    <w:rsid w:val="40F37FB8"/>
    <w:rsid w:val="421016D5"/>
    <w:rsid w:val="42415F57"/>
    <w:rsid w:val="4249318F"/>
    <w:rsid w:val="42A96C58"/>
    <w:rsid w:val="43CA50F1"/>
    <w:rsid w:val="444F0625"/>
    <w:rsid w:val="45392515"/>
    <w:rsid w:val="458A40C2"/>
    <w:rsid w:val="45BE1E11"/>
    <w:rsid w:val="45E253AB"/>
    <w:rsid w:val="45E878B3"/>
    <w:rsid w:val="45EA0429"/>
    <w:rsid w:val="468E4AE3"/>
    <w:rsid w:val="46BF7F1F"/>
    <w:rsid w:val="46D1677D"/>
    <w:rsid w:val="46FB0382"/>
    <w:rsid w:val="472C4F7A"/>
    <w:rsid w:val="478661AE"/>
    <w:rsid w:val="47893159"/>
    <w:rsid w:val="47EB6865"/>
    <w:rsid w:val="48290B93"/>
    <w:rsid w:val="49284D7B"/>
    <w:rsid w:val="497C50C6"/>
    <w:rsid w:val="49E05655"/>
    <w:rsid w:val="49E1317B"/>
    <w:rsid w:val="49EF479F"/>
    <w:rsid w:val="4A0D5D1E"/>
    <w:rsid w:val="4ADA6548"/>
    <w:rsid w:val="4B903377"/>
    <w:rsid w:val="4BB548C0"/>
    <w:rsid w:val="4BC43E4C"/>
    <w:rsid w:val="4C2C6594"/>
    <w:rsid w:val="4C7D185E"/>
    <w:rsid w:val="4C924A79"/>
    <w:rsid w:val="4DE85C7A"/>
    <w:rsid w:val="4E273FB4"/>
    <w:rsid w:val="4E8065F8"/>
    <w:rsid w:val="4E81291C"/>
    <w:rsid w:val="4EF61477"/>
    <w:rsid w:val="4F2204BE"/>
    <w:rsid w:val="4F4127A9"/>
    <w:rsid w:val="4FAD422B"/>
    <w:rsid w:val="4FC7696F"/>
    <w:rsid w:val="50165E6F"/>
    <w:rsid w:val="50277BC9"/>
    <w:rsid w:val="503E2CAF"/>
    <w:rsid w:val="50513F03"/>
    <w:rsid w:val="50703ED4"/>
    <w:rsid w:val="50812FC2"/>
    <w:rsid w:val="50D15CF8"/>
    <w:rsid w:val="51066F16"/>
    <w:rsid w:val="513F4EEA"/>
    <w:rsid w:val="51AE40DC"/>
    <w:rsid w:val="51E96747"/>
    <w:rsid w:val="521C2FA3"/>
    <w:rsid w:val="523D462B"/>
    <w:rsid w:val="52992845"/>
    <w:rsid w:val="52B14033"/>
    <w:rsid w:val="52D6758C"/>
    <w:rsid w:val="531C155C"/>
    <w:rsid w:val="53455021"/>
    <w:rsid w:val="5367649F"/>
    <w:rsid w:val="538A0A1C"/>
    <w:rsid w:val="538A508B"/>
    <w:rsid w:val="5422686A"/>
    <w:rsid w:val="544A22D3"/>
    <w:rsid w:val="54B75204"/>
    <w:rsid w:val="550E0B38"/>
    <w:rsid w:val="55356E1A"/>
    <w:rsid w:val="55DB3378"/>
    <w:rsid w:val="55F54236"/>
    <w:rsid w:val="568E6439"/>
    <w:rsid w:val="56B23F9C"/>
    <w:rsid w:val="56B93C5A"/>
    <w:rsid w:val="572A6162"/>
    <w:rsid w:val="573963A5"/>
    <w:rsid w:val="575256B8"/>
    <w:rsid w:val="578E0FAB"/>
    <w:rsid w:val="57A852D8"/>
    <w:rsid w:val="58360F93"/>
    <w:rsid w:val="58BA1F78"/>
    <w:rsid w:val="58BD65F9"/>
    <w:rsid w:val="599D70BF"/>
    <w:rsid w:val="59AB58B3"/>
    <w:rsid w:val="5AA9706F"/>
    <w:rsid w:val="5AAD383C"/>
    <w:rsid w:val="5B505E97"/>
    <w:rsid w:val="5D627046"/>
    <w:rsid w:val="5DC94A1C"/>
    <w:rsid w:val="5DCB4FC2"/>
    <w:rsid w:val="5DD8138D"/>
    <w:rsid w:val="5DEF0CB7"/>
    <w:rsid w:val="5E0D2339"/>
    <w:rsid w:val="5E435D5B"/>
    <w:rsid w:val="5E940365"/>
    <w:rsid w:val="5EBF7E2B"/>
    <w:rsid w:val="5F9B0133"/>
    <w:rsid w:val="5FD05326"/>
    <w:rsid w:val="607478B7"/>
    <w:rsid w:val="60992EDF"/>
    <w:rsid w:val="60BD5394"/>
    <w:rsid w:val="60E75FA3"/>
    <w:rsid w:val="611E7ED2"/>
    <w:rsid w:val="617A7CE6"/>
    <w:rsid w:val="61840B64"/>
    <w:rsid w:val="62892A63"/>
    <w:rsid w:val="634C116F"/>
    <w:rsid w:val="63DA70E2"/>
    <w:rsid w:val="63F0428F"/>
    <w:rsid w:val="64373C6C"/>
    <w:rsid w:val="64633872"/>
    <w:rsid w:val="64A01811"/>
    <w:rsid w:val="64C86FBA"/>
    <w:rsid w:val="657B41E2"/>
    <w:rsid w:val="659F01D8"/>
    <w:rsid w:val="66350708"/>
    <w:rsid w:val="6686620A"/>
    <w:rsid w:val="67A368EB"/>
    <w:rsid w:val="67FC1454"/>
    <w:rsid w:val="685D7B5A"/>
    <w:rsid w:val="68871E97"/>
    <w:rsid w:val="68B977C1"/>
    <w:rsid w:val="692844CB"/>
    <w:rsid w:val="69E4351C"/>
    <w:rsid w:val="6A364210"/>
    <w:rsid w:val="6A4F2F1A"/>
    <w:rsid w:val="6A5D01A4"/>
    <w:rsid w:val="6A933BC6"/>
    <w:rsid w:val="6ABE0C43"/>
    <w:rsid w:val="6ACA37D9"/>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833AC6"/>
    <w:rsid w:val="6FA74BB9"/>
    <w:rsid w:val="6FD444E6"/>
    <w:rsid w:val="6FD902CD"/>
    <w:rsid w:val="713951B9"/>
    <w:rsid w:val="71593422"/>
    <w:rsid w:val="71970440"/>
    <w:rsid w:val="72B059E8"/>
    <w:rsid w:val="72BE0D48"/>
    <w:rsid w:val="72E470A0"/>
    <w:rsid w:val="73104006"/>
    <w:rsid w:val="732C647B"/>
    <w:rsid w:val="7353202C"/>
    <w:rsid w:val="73F33B70"/>
    <w:rsid w:val="7466395C"/>
    <w:rsid w:val="749B3DA3"/>
    <w:rsid w:val="74F117E3"/>
    <w:rsid w:val="7512436E"/>
    <w:rsid w:val="75D27A87"/>
    <w:rsid w:val="75DF13DF"/>
    <w:rsid w:val="76481D09"/>
    <w:rsid w:val="764A5A81"/>
    <w:rsid w:val="76F43665"/>
    <w:rsid w:val="770737D2"/>
    <w:rsid w:val="784D7AAA"/>
    <w:rsid w:val="79660E24"/>
    <w:rsid w:val="7A1B6C1E"/>
    <w:rsid w:val="7A351B2A"/>
    <w:rsid w:val="7AA02113"/>
    <w:rsid w:val="7AB7598A"/>
    <w:rsid w:val="7B310FBD"/>
    <w:rsid w:val="7B5B4760"/>
    <w:rsid w:val="7BF8252E"/>
    <w:rsid w:val="7C1E59E5"/>
    <w:rsid w:val="7C3F13C0"/>
    <w:rsid w:val="7C754515"/>
    <w:rsid w:val="7D080444"/>
    <w:rsid w:val="7D8D4B15"/>
    <w:rsid w:val="7E0D277C"/>
    <w:rsid w:val="7E580D51"/>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2"/>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3"/>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2"/>
    <w:autoRedefine/>
    <w:qFormat/>
    <w:uiPriority w:val="0"/>
    <w:pPr>
      <w:spacing w:after="120"/>
    </w:pPr>
    <w:rPr>
      <w:rFonts w:ascii="Times New Roman" w:hAnsi="Times New Roman"/>
    </w:r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7">
    <w:name w:val="Normal Indent"/>
    <w:basedOn w:val="1"/>
    <w:autoRedefine/>
    <w:qFormat/>
    <w:uiPriority w:val="0"/>
    <w:pPr>
      <w:widowControl/>
      <w:spacing w:line="360" w:lineRule="auto"/>
      <w:ind w:firstLine="420"/>
      <w:jc w:val="left"/>
    </w:pPr>
    <w:rPr>
      <w:rFonts w:ascii="宋体" w:hAnsi="宋体"/>
      <w:kern w:val="0"/>
      <w:szCs w:val="20"/>
    </w:rPr>
  </w:style>
  <w:style w:type="paragraph" w:styleId="8">
    <w:name w:val="annotation text"/>
    <w:basedOn w:val="1"/>
    <w:link w:val="59"/>
    <w:autoRedefine/>
    <w:qFormat/>
    <w:uiPriority w:val="0"/>
    <w:pPr>
      <w:jc w:val="left"/>
    </w:pPr>
    <w:rPr>
      <w:rFonts w:ascii="Times New Roman" w:hAnsi="Times New Roman"/>
    </w:rPr>
  </w:style>
  <w:style w:type="paragraph" w:styleId="9">
    <w:name w:val="Body Text Indent"/>
    <w:basedOn w:val="1"/>
    <w:next w:val="10"/>
    <w:link w:val="53"/>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69"/>
    <w:autoRedefine/>
    <w:qFormat/>
    <w:uiPriority w:val="0"/>
    <w:rPr>
      <w:rFonts w:ascii="宋体" w:hAnsi="Courier New" w:cs="Courier New"/>
      <w:szCs w:val="21"/>
    </w:rPr>
  </w:style>
  <w:style w:type="paragraph" w:styleId="13">
    <w:name w:val="Date"/>
    <w:basedOn w:val="1"/>
    <w:next w:val="1"/>
    <w:link w:val="58"/>
    <w:autoRedefine/>
    <w:qFormat/>
    <w:uiPriority w:val="0"/>
    <w:pPr>
      <w:ind w:left="100" w:leftChars="2500"/>
    </w:pPr>
    <w:rPr>
      <w:rFonts w:ascii="Times New Roman" w:hAnsi="Times New Roman"/>
    </w:rPr>
  </w:style>
  <w:style w:type="paragraph" w:styleId="14">
    <w:name w:val="Body Text Indent 2"/>
    <w:basedOn w:val="1"/>
    <w:link w:val="57"/>
    <w:autoRedefine/>
    <w:qFormat/>
    <w:uiPriority w:val="0"/>
    <w:pPr>
      <w:spacing w:after="120" w:line="480" w:lineRule="auto"/>
      <w:ind w:left="420" w:leftChars="200"/>
    </w:pPr>
  </w:style>
  <w:style w:type="paragraph" w:styleId="15">
    <w:name w:val="Balloon Text"/>
    <w:basedOn w:val="1"/>
    <w:link w:val="68"/>
    <w:autoRedefine/>
    <w:qFormat/>
    <w:uiPriority w:val="0"/>
    <w:rPr>
      <w:rFonts w:ascii="Times New Roman" w:hAnsi="Times New Roman"/>
      <w:sz w:val="18"/>
      <w:szCs w:val="18"/>
    </w:rPr>
  </w:style>
  <w:style w:type="paragraph" w:styleId="16">
    <w:name w:val="footer"/>
    <w:basedOn w:val="1"/>
    <w:link w:val="67"/>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autoRedefine/>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6"/>
    <w:autoRedefine/>
    <w:qFormat/>
    <w:uiPriority w:val="0"/>
    <w:pPr>
      <w:spacing w:before="240" w:after="60"/>
      <w:jc w:val="center"/>
      <w:outlineLvl w:val="0"/>
    </w:pPr>
    <w:rPr>
      <w:rFonts w:ascii="Cambria" w:hAnsi="Cambria"/>
      <w:b/>
      <w:bCs/>
      <w:sz w:val="32"/>
      <w:szCs w:val="32"/>
    </w:rPr>
  </w:style>
  <w:style w:type="paragraph" w:styleId="22">
    <w:name w:val="annotation subject"/>
    <w:basedOn w:val="8"/>
    <w:next w:val="8"/>
    <w:link w:val="64"/>
    <w:autoRedefine/>
    <w:qFormat/>
    <w:uiPriority w:val="0"/>
    <w:rPr>
      <w:b/>
      <w:bCs/>
    </w:rPr>
  </w:style>
  <w:style w:type="paragraph" w:styleId="23">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FollowedHyperlink"/>
    <w:basedOn w:val="25"/>
    <w:autoRedefine/>
    <w:qFormat/>
    <w:uiPriority w:val="0"/>
    <w:rPr>
      <w:color w:val="800080" w:themeColor="followedHyperlink"/>
      <w:u w:val="single"/>
      <w14:textFill>
        <w14:solidFill>
          <w14:schemeClr w14:val="folHlink"/>
        </w14:solidFill>
      </w14:textFill>
    </w:rPr>
  </w:style>
  <w:style w:type="character" w:styleId="29">
    <w:name w:val="Hyperlink"/>
    <w:autoRedefine/>
    <w:qFormat/>
    <w:uiPriority w:val="99"/>
    <w:rPr>
      <w:color w:val="0000FF"/>
      <w:u w:val="single"/>
    </w:rPr>
  </w:style>
  <w:style w:type="character" w:styleId="30">
    <w:name w:val="annotation reference"/>
    <w:autoRedefine/>
    <w:qFormat/>
    <w:uiPriority w:val="0"/>
    <w:rPr>
      <w:sz w:val="21"/>
      <w:szCs w:val="21"/>
    </w:rPr>
  </w:style>
  <w:style w:type="character" w:customStyle="1" w:styleId="31">
    <w:name w:val="标题 1 Char"/>
    <w:basedOn w:val="25"/>
    <w:link w:val="4"/>
    <w:autoRedefine/>
    <w:qFormat/>
    <w:uiPriority w:val="0"/>
    <w:rPr>
      <w:rFonts w:ascii="Calibri" w:hAnsi="Calibri"/>
      <w:b/>
      <w:bCs/>
      <w:kern w:val="44"/>
      <w:sz w:val="44"/>
      <w:szCs w:val="44"/>
    </w:rPr>
  </w:style>
  <w:style w:type="character" w:customStyle="1" w:styleId="32">
    <w:name w:val="标题 2 Char"/>
    <w:basedOn w:val="25"/>
    <w:link w:val="5"/>
    <w:autoRedefine/>
    <w:qFormat/>
    <w:uiPriority w:val="0"/>
    <w:rPr>
      <w:rFonts w:ascii="Arial" w:hAnsi="Arial" w:eastAsia="黑体"/>
      <w:b/>
      <w:bCs/>
      <w:sz w:val="32"/>
      <w:szCs w:val="32"/>
    </w:rPr>
  </w:style>
  <w:style w:type="character" w:customStyle="1" w:styleId="33">
    <w:name w:val="标题 3 Char"/>
    <w:basedOn w:val="25"/>
    <w:link w:val="6"/>
    <w:autoRedefine/>
    <w:qFormat/>
    <w:uiPriority w:val="0"/>
    <w:rPr>
      <w:rFonts w:ascii="Calibri" w:hAnsi="Calibri"/>
      <w:b/>
      <w:bCs/>
      <w:kern w:val="2"/>
      <w:sz w:val="32"/>
      <w:szCs w:val="32"/>
    </w:rPr>
  </w:style>
  <w:style w:type="character" w:customStyle="1" w:styleId="34">
    <w:name w:val="批注框文本 Char"/>
    <w:link w:val="15"/>
    <w:autoRedefine/>
    <w:qFormat/>
    <w:uiPriority w:val="0"/>
    <w:rPr>
      <w:kern w:val="2"/>
      <w:sz w:val="18"/>
      <w:szCs w:val="18"/>
    </w:rPr>
  </w:style>
  <w:style w:type="character" w:customStyle="1" w:styleId="35">
    <w:name w:val="纯文本 Char1"/>
    <w:autoRedefine/>
    <w:unhideWhenUsed/>
    <w:qFormat/>
    <w:uiPriority w:val="99"/>
    <w:rPr>
      <w:rFonts w:hint="eastAsia" w:ascii="宋体" w:hAnsi="Tms Rmn" w:eastAsia="宋体"/>
      <w:sz w:val="21"/>
      <w:lang w:val="en-US" w:eastAsia="zh-CN"/>
    </w:rPr>
  </w:style>
  <w:style w:type="character" w:customStyle="1" w:styleId="36">
    <w:name w:val="页眉 Char"/>
    <w:link w:val="17"/>
    <w:autoRedefine/>
    <w:qFormat/>
    <w:uiPriority w:val="0"/>
    <w:rPr>
      <w:kern w:val="2"/>
      <w:sz w:val="18"/>
      <w:szCs w:val="18"/>
    </w:rPr>
  </w:style>
  <w:style w:type="character" w:customStyle="1" w:styleId="37">
    <w:name w:val="正文文本缩进 Char"/>
    <w:link w:val="9"/>
    <w:autoRedefine/>
    <w:qFormat/>
    <w:uiPriority w:val="0"/>
    <w:rPr>
      <w:kern w:val="2"/>
      <w:sz w:val="21"/>
      <w:szCs w:val="24"/>
    </w:rPr>
  </w:style>
  <w:style w:type="character" w:customStyle="1" w:styleId="38">
    <w:name w:val="批注主题 Char"/>
    <w:link w:val="22"/>
    <w:autoRedefine/>
    <w:qFormat/>
    <w:uiPriority w:val="0"/>
    <w:rPr>
      <w:b/>
      <w:bCs/>
      <w:kern w:val="2"/>
      <w:sz w:val="21"/>
      <w:szCs w:val="24"/>
    </w:rPr>
  </w:style>
  <w:style w:type="paragraph" w:customStyle="1" w:styleId="39">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autoRedefine/>
    <w:qFormat/>
    <w:uiPriority w:val="0"/>
  </w:style>
  <w:style w:type="character" w:customStyle="1" w:styleId="41">
    <w:name w:val="纯文本 Char"/>
    <w:link w:val="12"/>
    <w:autoRedefine/>
    <w:qFormat/>
    <w:locked/>
    <w:uiPriority w:val="0"/>
    <w:rPr>
      <w:rFonts w:ascii="宋体" w:hAnsi="Courier New" w:cs="Courier New"/>
      <w:kern w:val="2"/>
      <w:sz w:val="21"/>
      <w:szCs w:val="21"/>
    </w:rPr>
  </w:style>
  <w:style w:type="character" w:customStyle="1" w:styleId="42">
    <w:name w:val="日期 Char"/>
    <w:link w:val="13"/>
    <w:autoRedefine/>
    <w:qFormat/>
    <w:uiPriority w:val="0"/>
    <w:rPr>
      <w:kern w:val="2"/>
      <w:sz w:val="21"/>
      <w:szCs w:val="24"/>
    </w:rPr>
  </w:style>
  <w:style w:type="character" w:customStyle="1" w:styleId="43">
    <w:name w:val="正文文本 Char"/>
    <w:link w:val="2"/>
    <w:autoRedefine/>
    <w:qFormat/>
    <w:uiPriority w:val="0"/>
    <w:rPr>
      <w:kern w:val="2"/>
      <w:sz w:val="21"/>
      <w:szCs w:val="24"/>
    </w:rPr>
  </w:style>
  <w:style w:type="character" w:customStyle="1" w:styleId="44">
    <w:name w:val="标题 Char"/>
    <w:link w:val="21"/>
    <w:autoRedefine/>
    <w:qFormat/>
    <w:locked/>
    <w:uiPriority w:val="0"/>
    <w:rPr>
      <w:rFonts w:ascii="Cambria" w:hAnsi="Cambria"/>
      <w:b/>
      <w:bCs/>
      <w:kern w:val="2"/>
      <w:sz w:val="32"/>
      <w:szCs w:val="32"/>
    </w:rPr>
  </w:style>
  <w:style w:type="character" w:customStyle="1" w:styleId="45">
    <w:name w:val="正文首行缩进两字符 Char Char"/>
    <w:link w:val="46"/>
    <w:autoRedefine/>
    <w:qFormat/>
    <w:locked/>
    <w:uiPriority w:val="99"/>
    <w:rPr>
      <w:kern w:val="2"/>
      <w:sz w:val="21"/>
    </w:rPr>
  </w:style>
  <w:style w:type="paragraph" w:customStyle="1" w:styleId="46">
    <w:name w:val="正文首行缩进两字符"/>
    <w:basedOn w:val="1"/>
    <w:link w:val="45"/>
    <w:autoRedefine/>
    <w:qFormat/>
    <w:uiPriority w:val="99"/>
    <w:pPr>
      <w:spacing w:line="360" w:lineRule="auto"/>
      <w:ind w:firstLine="200" w:firstLineChars="200"/>
    </w:pPr>
    <w:rPr>
      <w:rFonts w:ascii="Times New Roman" w:hAnsi="Times New Roman"/>
      <w:szCs w:val="20"/>
    </w:rPr>
  </w:style>
  <w:style w:type="character" w:customStyle="1" w:styleId="47">
    <w:name w:val="批注文字 Char"/>
    <w:link w:val="8"/>
    <w:autoRedefine/>
    <w:qFormat/>
    <w:uiPriority w:val="0"/>
    <w:rPr>
      <w:kern w:val="2"/>
      <w:sz w:val="21"/>
      <w:szCs w:val="24"/>
    </w:rPr>
  </w:style>
  <w:style w:type="character" w:customStyle="1" w:styleId="48">
    <w:name w:val="NormalCharacter"/>
    <w:autoRedefine/>
    <w:qFormat/>
    <w:uiPriority w:val="0"/>
  </w:style>
  <w:style w:type="character" w:customStyle="1" w:styleId="49">
    <w:name w:val="页脚 Char"/>
    <w:link w:val="16"/>
    <w:autoRedefine/>
    <w:qFormat/>
    <w:uiPriority w:val="99"/>
    <w:rPr>
      <w:kern w:val="2"/>
      <w:sz w:val="18"/>
      <w:szCs w:val="18"/>
    </w:rPr>
  </w:style>
  <w:style w:type="paragraph" w:customStyle="1" w:styleId="50">
    <w:name w:val="中等深浅网格 1 - 着色 21"/>
    <w:basedOn w:val="1"/>
    <w:autoRedefine/>
    <w:qFormat/>
    <w:uiPriority w:val="34"/>
    <w:pPr>
      <w:ind w:firstLine="420" w:firstLineChars="200"/>
    </w:pPr>
    <w:rPr>
      <w:sz w:val="20"/>
      <w:szCs w:val="20"/>
    </w:rPr>
  </w:style>
  <w:style w:type="paragraph" w:customStyle="1" w:styleId="51">
    <w:name w:val="图表左对齐"/>
    <w:basedOn w:val="1"/>
    <w:autoRedefine/>
    <w:qFormat/>
    <w:uiPriority w:val="0"/>
    <w:pPr>
      <w:widowControl/>
      <w:spacing w:line="360" w:lineRule="exact"/>
      <w:jc w:val="left"/>
    </w:pPr>
    <w:rPr>
      <w:spacing w:val="-10"/>
      <w:kern w:val="0"/>
      <w:sz w:val="24"/>
      <w:szCs w:val="28"/>
    </w:rPr>
  </w:style>
  <w:style w:type="character" w:customStyle="1" w:styleId="52">
    <w:name w:val="正文文本 Char1"/>
    <w:basedOn w:val="25"/>
    <w:link w:val="2"/>
    <w:autoRedefine/>
    <w:qFormat/>
    <w:uiPriority w:val="0"/>
    <w:rPr>
      <w:rFonts w:ascii="Calibri" w:hAnsi="Calibri"/>
      <w:kern w:val="2"/>
      <w:sz w:val="21"/>
      <w:szCs w:val="24"/>
    </w:rPr>
  </w:style>
  <w:style w:type="character" w:customStyle="1" w:styleId="53">
    <w:name w:val="正文文本缩进 Char1"/>
    <w:basedOn w:val="25"/>
    <w:link w:val="9"/>
    <w:autoRedefine/>
    <w:qFormat/>
    <w:uiPriority w:val="0"/>
    <w:rPr>
      <w:rFonts w:ascii="Calibri" w:hAnsi="Calibri"/>
      <w:kern w:val="2"/>
      <w:sz w:val="21"/>
      <w:szCs w:val="24"/>
    </w:rPr>
  </w:style>
  <w:style w:type="paragraph" w:styleId="54">
    <w:name w:val="List Paragraph"/>
    <w:basedOn w:val="1"/>
    <w:autoRedefine/>
    <w:qFormat/>
    <w:uiPriority w:val="34"/>
    <w:pPr>
      <w:ind w:firstLine="420" w:firstLineChars="200"/>
    </w:pPr>
  </w:style>
  <w:style w:type="paragraph" w:customStyle="1" w:styleId="55">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1"/>
    <w:autoRedefine/>
    <w:qFormat/>
    <w:uiPriority w:val="0"/>
    <w:rPr>
      <w:rFonts w:asciiTheme="majorHAnsi" w:hAnsiTheme="majorHAnsi" w:cstheme="majorBidi"/>
      <w:b/>
      <w:bCs/>
      <w:kern w:val="2"/>
      <w:sz w:val="32"/>
      <w:szCs w:val="32"/>
    </w:rPr>
  </w:style>
  <w:style w:type="character" w:customStyle="1" w:styleId="57">
    <w:name w:val="正文文本缩进 2 Char"/>
    <w:basedOn w:val="25"/>
    <w:link w:val="14"/>
    <w:autoRedefine/>
    <w:qFormat/>
    <w:uiPriority w:val="0"/>
    <w:rPr>
      <w:rFonts w:ascii="Calibri" w:hAnsi="Calibri"/>
      <w:kern w:val="2"/>
      <w:sz w:val="21"/>
      <w:szCs w:val="24"/>
    </w:rPr>
  </w:style>
  <w:style w:type="character" w:customStyle="1" w:styleId="58">
    <w:name w:val="日期 Char1"/>
    <w:basedOn w:val="25"/>
    <w:link w:val="13"/>
    <w:autoRedefine/>
    <w:qFormat/>
    <w:uiPriority w:val="0"/>
    <w:rPr>
      <w:rFonts w:ascii="Calibri" w:hAnsi="Calibri"/>
      <w:kern w:val="2"/>
      <w:sz w:val="21"/>
      <w:szCs w:val="24"/>
    </w:rPr>
  </w:style>
  <w:style w:type="character" w:customStyle="1" w:styleId="59">
    <w:name w:val="批注文字 Char1"/>
    <w:basedOn w:val="25"/>
    <w:link w:val="8"/>
    <w:autoRedefine/>
    <w:qFormat/>
    <w:uiPriority w:val="0"/>
    <w:rPr>
      <w:rFonts w:ascii="Calibri" w:hAnsi="Calibri"/>
      <w:kern w:val="2"/>
      <w:sz w:val="21"/>
      <w:szCs w:val="24"/>
    </w:rPr>
  </w:style>
  <w:style w:type="paragraph" w:customStyle="1" w:styleId="60">
    <w:name w:val="样式 首行缩进:  2 字符"/>
    <w:basedOn w:val="1"/>
    <w:autoRedefine/>
    <w:qFormat/>
    <w:uiPriority w:val="0"/>
    <w:pPr>
      <w:spacing w:line="400" w:lineRule="exact"/>
      <w:ind w:firstLine="200" w:firstLineChars="200"/>
    </w:pPr>
    <w:rPr>
      <w:rFonts w:cs="宋体"/>
      <w:sz w:val="24"/>
    </w:rPr>
  </w:style>
  <w:style w:type="paragraph" w:styleId="6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autoRedefine/>
    <w:qFormat/>
    <w:uiPriority w:val="0"/>
    <w:rPr>
      <w:rFonts w:ascii="Tahoma" w:hAnsi="Tahoma"/>
      <w:sz w:val="24"/>
      <w:szCs w:val="20"/>
    </w:rPr>
  </w:style>
  <w:style w:type="paragraph" w:customStyle="1" w:styleId="63">
    <w:name w:val="p0"/>
    <w:basedOn w:val="1"/>
    <w:autoRedefine/>
    <w:qFormat/>
    <w:uiPriority w:val="99"/>
    <w:pPr>
      <w:widowControl/>
    </w:pPr>
    <w:rPr>
      <w:kern w:val="0"/>
      <w:szCs w:val="20"/>
    </w:rPr>
  </w:style>
  <w:style w:type="character" w:customStyle="1" w:styleId="64">
    <w:name w:val="批注主题 Char1"/>
    <w:basedOn w:val="59"/>
    <w:link w:val="22"/>
    <w:autoRedefine/>
    <w:qFormat/>
    <w:uiPriority w:val="0"/>
    <w:rPr>
      <w:b/>
      <w:bCs/>
    </w:rPr>
  </w:style>
  <w:style w:type="paragraph" w:customStyle="1" w:styleId="65">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6"/>
    <w:autoRedefine/>
    <w:qFormat/>
    <w:uiPriority w:val="0"/>
    <w:rPr>
      <w:rFonts w:ascii="Calibri" w:hAnsi="Calibri"/>
      <w:kern w:val="2"/>
      <w:sz w:val="18"/>
      <w:szCs w:val="18"/>
    </w:rPr>
  </w:style>
  <w:style w:type="character" w:customStyle="1" w:styleId="68">
    <w:name w:val="批注框文本 Char1"/>
    <w:basedOn w:val="25"/>
    <w:link w:val="15"/>
    <w:autoRedefine/>
    <w:qFormat/>
    <w:uiPriority w:val="0"/>
    <w:rPr>
      <w:rFonts w:ascii="Calibri" w:hAnsi="Calibri"/>
      <w:kern w:val="2"/>
      <w:sz w:val="18"/>
      <w:szCs w:val="18"/>
    </w:rPr>
  </w:style>
  <w:style w:type="character" w:customStyle="1" w:styleId="69">
    <w:name w:val="纯文本 Char2"/>
    <w:basedOn w:val="25"/>
    <w:link w:val="12"/>
    <w:autoRedefine/>
    <w:qFormat/>
    <w:uiPriority w:val="0"/>
    <w:rPr>
      <w:rFonts w:ascii="宋体" w:hAnsi="Courier New" w:cs="Courier New"/>
      <w:kern w:val="2"/>
      <w:sz w:val="21"/>
      <w:szCs w:val="21"/>
    </w:rPr>
  </w:style>
  <w:style w:type="paragraph" w:customStyle="1" w:styleId="70">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7"/>
    <w:autoRedefine/>
    <w:qFormat/>
    <w:uiPriority w:val="0"/>
    <w:rPr>
      <w:rFonts w:ascii="Calibri" w:hAnsi="Calibri"/>
      <w:kern w:val="2"/>
      <w:sz w:val="18"/>
      <w:szCs w:val="18"/>
    </w:rPr>
  </w:style>
  <w:style w:type="paragraph" w:customStyle="1" w:styleId="72">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5">
    <w:name w:val="列出段落1"/>
    <w:basedOn w:val="1"/>
    <w:autoRedefine/>
    <w:qFormat/>
    <w:uiPriority w:val="0"/>
    <w:pPr>
      <w:ind w:firstLine="420" w:firstLineChars="200"/>
    </w:pPr>
    <w:rPr>
      <w:rFonts w:ascii="Calibri" w:hAnsi="Calibri"/>
      <w:szCs w:val="22"/>
    </w:rPr>
  </w:style>
  <w:style w:type="paragraph" w:customStyle="1" w:styleId="76">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8552</Words>
  <Characters>8889</Characters>
  <Lines>102</Lines>
  <Paragraphs>28</Paragraphs>
  <TotalTime>9</TotalTime>
  <ScaleCrop>false</ScaleCrop>
  <LinksUpToDate>false</LinksUpToDate>
  <CharactersWithSpaces>10469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张素琼</cp:lastModifiedBy>
  <dcterms:modified xsi:type="dcterms:W3CDTF">2024-04-28T01:46:29Z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F43260EA7D044F58AE47754BF9C4C356</vt:lpwstr>
  </property>
</Properties>
</file>