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u w:val="single"/>
          <w:lang w:eastAsia="zh-CN"/>
        </w:rPr>
        <w:t>项目名称：</w:t>
      </w:r>
      <w:r>
        <w:rPr>
          <w:rFonts w:hint="eastAsia" w:ascii="Times New Roman" w:hAnsi="Times New Roman" w:eastAsia="宋体" w:cs="Times New Roman"/>
          <w:b/>
          <w:bCs/>
          <w:sz w:val="48"/>
          <w:szCs w:val="48"/>
          <w:u w:val="single"/>
          <w:lang w:eastAsia="zh-CN"/>
        </w:rPr>
        <w:t>可视喉镜、LED观片灯、恒</w:t>
      </w:r>
      <w:r>
        <w:rPr>
          <w:rFonts w:hint="eastAsia" w:ascii="Times New Roman" w:hAnsi="Times New Roman"/>
          <w:b/>
          <w:bCs/>
          <w:sz w:val="48"/>
          <w:szCs w:val="48"/>
          <w:u w:val="single"/>
          <w:lang w:eastAsia="zh-CN"/>
        </w:rPr>
        <w:t>温摆动保存箱采购项目（第二次）</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3"/>
        <w:ind w:left="0" w:leftChars="0" w:firstLine="0" w:firstLineChars="0"/>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jc w:val="center"/>
        <w:rPr>
          <w:rFonts w:hint="default" w:ascii="Times New Roman" w:hAnsi="Times New Roman"/>
          <w:b/>
          <w:bCs/>
          <w:sz w:val="32"/>
          <w:szCs w:val="32"/>
          <w:lang w:val="en-US"/>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5</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15日</w:t>
      </w:r>
    </w:p>
    <w:p>
      <w:pPr>
        <w:rPr>
          <w:rFonts w:hint="eastAsia" w:ascii="Times New Roman" w:hAnsi="Times New Roman"/>
          <w:b/>
          <w:bCs/>
          <w:sz w:val="32"/>
          <w:szCs w:val="32"/>
        </w:rPr>
      </w:pPr>
      <w:r>
        <w:rPr>
          <w:rFonts w:hint="eastAsia" w:ascii="Times New Roman" w:hAnsi="Times New Roman"/>
          <w:b/>
          <w:bCs/>
          <w:sz w:val="32"/>
          <w:szCs w:val="32"/>
        </w:rPr>
        <w:br w:type="page"/>
      </w:r>
    </w:p>
    <w:p>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关于可视喉镜、</w:t>
      </w:r>
      <w:r>
        <w:rPr>
          <w:rFonts w:hint="eastAsia" w:ascii="Times New Roman" w:hAnsi="Times New Roman"/>
          <w:b/>
          <w:bCs/>
          <w:color w:val="000000" w:themeColor="text1"/>
          <w:sz w:val="32"/>
          <w:szCs w:val="32"/>
          <w:lang w:eastAsia="zh-CN"/>
          <w14:textFill>
            <w14:solidFill>
              <w14:schemeClr w14:val="tx1"/>
            </w14:solidFill>
          </w14:textFill>
        </w:rPr>
        <w:t>LED观片灯</w:t>
      </w:r>
      <w:r>
        <w:rPr>
          <w:rFonts w:hint="eastAsia" w:ascii="Times New Roman" w:hAnsi="Times New Roman"/>
          <w:b/>
          <w:bCs/>
          <w:color w:val="000000" w:themeColor="text1"/>
          <w:sz w:val="32"/>
          <w:szCs w:val="32"/>
          <w14:textFill>
            <w14:solidFill>
              <w14:schemeClr w14:val="tx1"/>
            </w14:solidFill>
          </w14:textFill>
        </w:rPr>
        <w:t>、恒温摆动保存箱的采购公告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可视喉镜、LED观片灯、恒温摆动保存箱，</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可视喉镜、LED观片灯、恒温摆动保存箱采</w:t>
      </w:r>
      <w:r>
        <w:rPr>
          <w:rFonts w:ascii="Times New Roman" w:hAnsi="Times New Roman"/>
          <w:bCs/>
          <w:sz w:val="24"/>
          <w:szCs w:val="24"/>
        </w:rPr>
        <w:t>购项目</w:t>
      </w:r>
      <w:r>
        <w:rPr>
          <w:rFonts w:hint="eastAsia" w:ascii="Times New Roman" w:hAnsi="Times New Roman"/>
          <w:bCs/>
          <w:sz w:val="24"/>
          <w:szCs w:val="24"/>
          <w:lang w:eastAsia="zh-CN"/>
        </w:rPr>
        <w:t>（第二次）</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60"/>
        <w:gridCol w:w="705"/>
        <w:gridCol w:w="720"/>
        <w:gridCol w:w="1233"/>
        <w:gridCol w:w="1349"/>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8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4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可视喉镜</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8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430"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3台最高限价5万元。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LED</w:t>
            </w:r>
          </w:p>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观片灯</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单价采购</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0.22</w:t>
            </w:r>
          </w:p>
        </w:tc>
        <w:tc>
          <w:tcPr>
            <w:tcW w:w="8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430" w:type="pct"/>
            <w:tcBorders>
              <w:left w:val="single" w:color="auto" w:sz="4" w:space="0"/>
              <w:right w:val="single" w:color="auto" w:sz="4" w:space="0"/>
            </w:tcBorders>
            <w:vAlign w:val="center"/>
          </w:tcPr>
          <w:p>
            <w:pPr>
              <w:jc w:val="both"/>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本次采购报价为单价，供货期限为3年。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03</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恒温摆动保存箱</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w:t>
            </w:r>
          </w:p>
        </w:tc>
        <w:tc>
          <w:tcPr>
            <w:tcW w:w="802"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430"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5</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5</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可视喉镜、LED观片灯、恒温摆动保存箱</w:t>
      </w:r>
      <w:r>
        <w:rPr>
          <w:rFonts w:hint="eastAsia" w:ascii="Times New Roman" w:hAnsi="Times New Roman"/>
          <w:color w:val="auto"/>
          <w:sz w:val="32"/>
          <w:szCs w:val="32"/>
          <w:lang w:eastAsia="zh-CN"/>
        </w:rPr>
        <w:t>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可视喉镜、</w:t>
      </w:r>
      <w:r>
        <w:rPr>
          <w:rFonts w:hint="default" w:ascii="Times New Roman" w:hAnsi="Times New Roman" w:cs="Times New Roman"/>
          <w:color w:val="000000"/>
          <w:sz w:val="24"/>
          <w:szCs w:val="24"/>
          <w:lang w:eastAsia="zh-CN"/>
        </w:rPr>
        <w:t>LED</w:t>
      </w:r>
      <w:r>
        <w:rPr>
          <w:rFonts w:hint="eastAsia" w:ascii="Times New Roman" w:hAnsi="Times New Roman"/>
          <w:color w:val="000000"/>
          <w:sz w:val="24"/>
          <w:szCs w:val="24"/>
          <w:lang w:eastAsia="zh-CN"/>
        </w:rPr>
        <w:t>观片灯、恒温摆动保存箱，</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可视喉镜、LED观片灯、恒温摆动保存箱</w:t>
      </w:r>
      <w:r>
        <w:rPr>
          <w:rFonts w:ascii="Times New Roman" w:hAnsi="Times New Roman"/>
          <w:bCs/>
          <w:sz w:val="24"/>
          <w:szCs w:val="24"/>
        </w:rPr>
        <w:t>采购项目</w:t>
      </w:r>
      <w:r>
        <w:rPr>
          <w:rFonts w:hint="eastAsia" w:ascii="Times New Roman" w:hAnsi="Times New Roman"/>
          <w:bCs/>
          <w:sz w:val="24"/>
          <w:szCs w:val="24"/>
          <w:lang w:eastAsia="zh-CN"/>
        </w:rPr>
        <w:t>（第二次）</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60"/>
        <w:gridCol w:w="705"/>
        <w:gridCol w:w="720"/>
        <w:gridCol w:w="1233"/>
        <w:gridCol w:w="1349"/>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8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4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可视喉镜</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8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430"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3台最高限价5万元。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LED</w:t>
            </w:r>
          </w:p>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观片灯</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单价采购</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0.22</w:t>
            </w:r>
          </w:p>
        </w:tc>
        <w:tc>
          <w:tcPr>
            <w:tcW w:w="8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430" w:type="pct"/>
            <w:tcBorders>
              <w:left w:val="single" w:color="auto" w:sz="4" w:space="0"/>
              <w:right w:val="single" w:color="auto" w:sz="4" w:space="0"/>
            </w:tcBorders>
            <w:vAlign w:val="center"/>
          </w:tcPr>
          <w:p>
            <w:pPr>
              <w:jc w:val="both"/>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本次采购报价为单价，供货期限为3年。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03</w:t>
            </w:r>
          </w:p>
        </w:tc>
        <w:tc>
          <w:tcPr>
            <w:tcW w:w="7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恒温摆动保存箱</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w:t>
            </w:r>
          </w:p>
        </w:tc>
        <w:tc>
          <w:tcPr>
            <w:tcW w:w="802"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430"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16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4</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val="en-US" w:eastAsia="zh-CN"/>
        </w:rPr>
        <w:t>20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23</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r>
        <w:rPr>
          <w:rFonts w:hint="eastAsia" w:ascii="Times New Roman" w:hAnsi="Times New Roman"/>
          <w:kern w:val="0"/>
          <w:sz w:val="24"/>
          <w:szCs w:val="24"/>
          <w:lang w:eastAsia="zh-CN"/>
        </w:rPr>
        <w:t>和包号</w:t>
      </w:r>
      <w:r>
        <w:rPr>
          <w:rFonts w:hint="eastAsia" w:ascii="Times New Roman" w:hAnsi="Times New Roman"/>
          <w:kern w:val="0"/>
          <w:sz w:val="24"/>
          <w:szCs w:val="24"/>
        </w:rPr>
        <w:t>。</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23</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firstLine="0" w:firstLineChars="0"/>
        <w:textAlignment w:val="baseline"/>
        <w:rPr>
          <w:rFonts w:hint="eastAsia" w:ascii="宋体" w:hAnsi="宋体" w:cs="宋体"/>
          <w:b/>
          <w:bCs/>
          <w:sz w:val="24"/>
          <w:lang w:val="en-US" w:eastAsia="zh-CN"/>
        </w:rPr>
      </w:pPr>
      <w:r>
        <w:rPr>
          <w:rFonts w:hint="eastAsia" w:ascii="宋体" w:hAnsi="宋体" w:cs="宋体"/>
          <w:b/>
          <w:bCs/>
          <w:sz w:val="24"/>
          <w:lang w:val="en-US" w:eastAsia="zh-CN"/>
        </w:rPr>
        <w:t>01包 可视喉镜</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1.带成人，儿童两种喉镜片，喉镜片可消毒重复使用。</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2.屏幕≥3.0英寸高清屏幕，屏幕可旋转</w:t>
      </w:r>
      <w:r>
        <w:rPr>
          <w:rFonts w:hint="eastAsia" w:ascii="宋体" w:hAnsi="宋体" w:cs="Times New Roman"/>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3.喉镜片与屏幕可实现快速插拔</w:t>
      </w:r>
      <w:r>
        <w:rPr>
          <w:rFonts w:hint="eastAsia" w:ascii="宋体" w:hAnsi="宋体" w:cs="Times New Roman"/>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4.有防雾功能</w:t>
      </w:r>
      <w:r>
        <w:rPr>
          <w:rFonts w:hint="eastAsia" w:ascii="宋体" w:hAnsi="宋体" w:cs="Times New Roman"/>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5.整机具有防水功能</w:t>
      </w:r>
      <w:r>
        <w:rPr>
          <w:rFonts w:hint="eastAsia" w:ascii="宋体" w:hAnsi="宋体" w:cs="Times New Roman"/>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firstLine="0" w:firstLineChars="0"/>
        <w:textAlignment w:val="baseline"/>
        <w:rPr>
          <w:rFonts w:hint="eastAsia" w:ascii="宋体" w:hAnsi="宋体" w:cs="宋体"/>
          <w:b/>
          <w:bCs/>
          <w:sz w:val="24"/>
          <w:lang w:val="en-US" w:eastAsia="zh-CN"/>
        </w:rPr>
      </w:pPr>
      <w:r>
        <w:rPr>
          <w:rFonts w:hint="eastAsia" w:ascii="宋体" w:hAnsi="宋体" w:cs="宋体"/>
          <w:b/>
          <w:bCs/>
          <w:sz w:val="24"/>
          <w:lang w:val="en-US" w:eastAsia="zh-CN"/>
        </w:rPr>
        <w:t>02包 LED观片灯</w:t>
      </w:r>
    </w:p>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1.电源要求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输入电压AC220V±10% 50/60Hz；</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2.电气安全性：符合国家标准GB9706.1或GB4793.1</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▲3.背光灯采用LED技术，LED灯寿命5-10万小时；</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4.亮度差≤20%</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▲5.光亮度200-4500cd/m2,光源色温：≥10000K;</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▲6.观察屏载入胶片亮度区域亮度均匀性：≥90％</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7.特殊要求：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7.1 电源开关开启后观察屏无需预热即可达到最高亮度。</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7.2 亮度调节方式：电位器开关式连续调节。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8．性能要求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8.1 节能：采用LED节能光源。</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8.2 无频闪：光源稳定无闪烁。</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8.3 无电磁辐射：产品不含电磁辐射。</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8.4 色温稳定：色温值固定。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8.5 光强度分布均匀：灯箱各个位置亮度一致，没有暗区。</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9.胶片插片载入方式</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9.1 夹片结构无空段</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9.2 夹片牢固：胶片固定良好，不易掉落。</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9.3 取片灵活方便：直接取下胶片即可。</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▲9.4 采用滚针加滚珠自锁式夹片机构</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 双联：2 张14×17 英寸胶片竖式并列载入，观察屏载入胶片亮度部分的左右和下部没有多余部分和漏光部分。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11.观片灯外部箱体要求：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11.1 采用优质铝合金表面喷塑型材和/或工程塑料型材。</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11.2 型材表面亚光设计。</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11.3 观片灯箱体背板材质：采用金属表面喷塑型材，要求材质表面整洁，无尖锐突起，不损伤墙体。</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11.4 观片灯箱体厚度：≤25毫米。</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11.5 观片灯箱体背板具备悬挂功能和配件(螺丝等、膨胀塞等)。</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lang w:val="en-US" w:eastAsia="zh-CN"/>
        </w:rPr>
      </w:pPr>
      <w:r>
        <w:rPr>
          <w:rFonts w:hint="eastAsia" w:ascii="宋体" w:hAnsi="宋体" w:eastAsia="宋体" w:cs="Times New Roman"/>
          <w:kern w:val="2"/>
          <w:sz w:val="24"/>
          <w:szCs w:val="24"/>
          <w:lang w:val="en-US" w:eastAsia="zh-CN" w:bidi="ar-SA"/>
        </w:rPr>
        <w:t>12．提供防漏电措施。</w:t>
      </w:r>
    </w:p>
    <w:p>
      <w:pPr>
        <w:pStyle w:val="2"/>
        <w:keepNext w:val="0"/>
        <w:keepLines w:val="0"/>
        <w:pageBreakBefore w:val="0"/>
        <w:widowControl w:val="0"/>
        <w:kinsoku/>
        <w:wordWrap/>
        <w:overflowPunct/>
        <w:topLinePunct w:val="0"/>
        <w:autoSpaceDE/>
        <w:autoSpaceDN/>
        <w:bidi w:val="0"/>
        <w:adjustRightInd/>
        <w:spacing w:line="3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03包 恒温摆动保存箱</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用于血小板保存；</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控温范围：22℃±2℃，控温精度：±0.2℃；</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报警温度：低于20℃高于24℃。云报警系统，当设备超过正常温度时可通过电话、短信、微信等方式告知管理人员；</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摆动频率：50-60周/min。具有摆动记忆功能，异常断电恢复后自动开启摆动；</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箱内自带紫外灯消毒；</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实时显示温度，能实时记录血小板存放过程的温度数据;</w:t>
      </w:r>
    </w:p>
    <w:p>
      <w:pPr>
        <w:pStyle w:val="3"/>
        <w:keepNext w:val="0"/>
        <w:keepLines w:val="0"/>
        <w:pageBreakBefore w:val="0"/>
        <w:widowControl w:val="0"/>
        <w:kinsoku/>
        <w:wordWrap/>
        <w:overflowPunct/>
        <w:topLinePunct w:val="0"/>
        <w:autoSpaceDE/>
        <w:autoSpaceDN/>
        <w:bidi w:val="0"/>
        <w:adjustRightInd/>
        <w:spacing w:line="300" w:lineRule="exact"/>
        <w:ind w:left="0" w:leftChars="0" w:firstLine="0" w:firstLineChars="0"/>
        <w:rPr>
          <w:rFonts w:hint="eastAsia" w:cs="Times New Roman" w:asciiTheme="minorEastAsia" w:hAnsiTheme="minorEastAsia" w:eastAsiaTheme="minorEastAsia"/>
          <w:b/>
          <w:bCs/>
          <w:color w:val="auto"/>
          <w:kern w:val="2"/>
          <w:sz w:val="30"/>
          <w:szCs w:val="30"/>
          <w:lang w:val="en-US" w:eastAsia="zh-CN" w:bidi="ar-SA"/>
        </w:rPr>
      </w:pPr>
      <w:r>
        <w:rPr>
          <w:rFonts w:hint="eastAsia" w:ascii="宋体" w:hAnsi="宋体" w:eastAsia="宋体" w:cs="Times New Roman"/>
          <w:kern w:val="2"/>
          <w:sz w:val="24"/>
          <w:szCs w:val="24"/>
          <w:lang w:val="en-US" w:eastAsia="zh-CN" w:bidi="ar-SA"/>
        </w:rPr>
        <w:t>7</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自动故障检测识别，屏幕可显示故障信息。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default"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01包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1.3交货期：签订合同后，接到医院通知后30日内。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pStyle w:val="23"/>
        <w:ind w:left="0" w:leftChars="0" w:firstLine="0" w:firstLineChars="0"/>
        <w:rPr>
          <w:rFonts w:hint="eastAsia"/>
          <w:b/>
          <w:bCs/>
          <w:lang w:val="en-US" w:eastAsia="zh-CN"/>
        </w:rPr>
      </w:pPr>
      <w:r>
        <w:rPr>
          <w:rFonts w:hint="eastAsia"/>
          <w:b/>
          <w:bCs/>
          <w:lang w:val="en-US" w:eastAsia="zh-CN"/>
        </w:rPr>
        <w:t>02包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1.交货期：</w:t>
      </w:r>
      <w:r>
        <w:rPr>
          <w:rFonts w:hint="eastAsia" w:cs="Times New Roman" w:asciiTheme="minorEastAsia" w:hAnsiTheme="minorEastAsia" w:eastAsiaTheme="minorEastAsia"/>
          <w:color w:val="auto"/>
          <w:kern w:val="2"/>
          <w:sz w:val="24"/>
          <w:szCs w:val="24"/>
          <w:lang w:val="en-US" w:eastAsia="zh-CN" w:bidi="ar-SA"/>
        </w:rPr>
        <w:t>签订合同后，按照医院需求供货，接到医院订货通知后15日内交货。</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2.交货地点：三台县人民医院指定地点。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3.质保期≥1年，如国家或行业标准期限长于本项目质保期的，按国家或行业标准执行。</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4.付款方式：</w:t>
      </w:r>
      <w:r>
        <w:rPr>
          <w:rFonts w:hint="eastAsia" w:cs="Times New Roman" w:asciiTheme="minorEastAsia" w:hAnsiTheme="minorEastAsia" w:eastAsiaTheme="minorEastAsia"/>
          <w:color w:val="auto"/>
          <w:kern w:val="2"/>
          <w:sz w:val="24"/>
          <w:szCs w:val="24"/>
          <w:lang w:val="en-US" w:eastAsia="zh-CN" w:bidi="ar-SA"/>
        </w:rPr>
        <w:t>据实结算，</w:t>
      </w:r>
      <w:r>
        <w:rPr>
          <w:rFonts w:hint="default" w:cs="Times New Roman" w:asciiTheme="minorEastAsia" w:hAnsiTheme="minorEastAsia" w:eastAsiaTheme="minorEastAsia"/>
          <w:color w:val="auto"/>
          <w:kern w:val="2"/>
          <w:sz w:val="24"/>
          <w:szCs w:val="24"/>
          <w:lang w:val="en-US" w:eastAsia="zh-CN" w:bidi="ar-SA"/>
        </w:rPr>
        <w:t>验收合格并收到发票后1个月内支付</w:t>
      </w:r>
      <w:r>
        <w:rPr>
          <w:rFonts w:hint="eastAsia" w:cs="Times New Roman" w:asciiTheme="minorEastAsia" w:hAnsiTheme="minorEastAsia" w:eastAsiaTheme="minorEastAsia"/>
          <w:color w:val="auto"/>
          <w:kern w:val="2"/>
          <w:sz w:val="24"/>
          <w:szCs w:val="24"/>
          <w:lang w:val="en-US" w:eastAsia="zh-CN" w:bidi="ar-SA"/>
        </w:rPr>
        <w:t>实际采购金额</w:t>
      </w:r>
      <w:r>
        <w:rPr>
          <w:rFonts w:hint="default" w:cs="Times New Roman" w:asciiTheme="minorEastAsia" w:hAnsiTheme="minorEastAsia" w:eastAsiaTheme="minorEastAsia"/>
          <w:color w:val="auto"/>
          <w:kern w:val="2"/>
          <w:sz w:val="24"/>
          <w:szCs w:val="24"/>
          <w:lang w:val="en-US" w:eastAsia="zh-CN" w:bidi="ar-SA"/>
        </w:rPr>
        <w:t>的100%。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b/>
          <w:bCs/>
          <w:lang w:val="en-US" w:eastAsia="zh-CN"/>
        </w:rPr>
      </w:pPr>
      <w:r>
        <w:rPr>
          <w:rFonts w:hint="default" w:cs="Times New Roman" w:asciiTheme="minorEastAsia" w:hAnsiTheme="minorEastAsia" w:eastAsiaTheme="minorEastAsia"/>
          <w:color w:val="auto"/>
          <w:kern w:val="2"/>
          <w:sz w:val="24"/>
          <w:szCs w:val="24"/>
          <w:lang w:val="en-US" w:eastAsia="zh-CN" w:bidi="ar-SA"/>
        </w:rPr>
        <w:t>5.售后服务：保修期内接到报修电话半小时内响应，远程不能有效解决问题，24小时内到达现场，所有人工费、材料费、差旅费等各种费用由中标方支付。终生维修。保修期外费用双方协商确定。</w:t>
      </w:r>
    </w:p>
    <w:p>
      <w:pPr>
        <w:pStyle w:val="2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b/>
          <w:bCs/>
          <w:lang w:val="en-US" w:eastAsia="zh-CN"/>
        </w:rPr>
      </w:pPr>
      <w:r>
        <w:rPr>
          <w:rFonts w:hint="eastAsia"/>
          <w:b/>
          <w:bCs/>
          <w:lang w:val="en-US" w:eastAsia="zh-CN"/>
        </w:rPr>
        <w:t>03包</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bookmarkStart w:id="9" w:name="_Toc520455385"/>
      <w:r>
        <w:rPr>
          <w:rFonts w:hint="default" w:cs="Times New Roman" w:asciiTheme="minorEastAsia" w:hAnsiTheme="minorEastAsia" w:eastAsiaTheme="minorEastAsia"/>
          <w:color w:val="auto"/>
          <w:kern w:val="2"/>
          <w:sz w:val="24"/>
          <w:szCs w:val="24"/>
          <w:lang w:val="en-US" w:eastAsia="zh-CN" w:bidi="ar-SA"/>
        </w:rPr>
        <w:t>1.交货期：合同签订后15个工作日内完成货物交付。</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2.交货及安装地点：三台县人民医院指定地点。</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3.质保期≥1年，如国家或行业标准期限长于本项目质保期的，按国家或行业标准执行。</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4.付款方式：货到安装验收合格1个月内付合同总价的70% ，验收合格半年后1个月内付合同总价的20% ，验收合格一年后1个月内付合同总价10%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5.售后服务：保修期内接到报修电话半小时内响应，远程不能有效解决问题，24小时内到达现场，所有人工费、材料费、差旅费等各种费用由中标方支付。终生维修。保修期外费用双方协商确定。</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6.安装调试完成后中标方派专业技术人员对医院相关技术人员进行培训，直至能独立操作，并同时能完成一般常见故障的维修处理。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sz w:val="32"/>
          <w:szCs w:val="32"/>
          <w:lang w:eastAsia="zh-CN"/>
        </w:rPr>
      </w:pPr>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ascii="Times New Roman" w:hAnsi="Times New Roman"/>
          <w:b/>
          <w:bCs/>
          <w:color w:val="auto"/>
          <w:kern w:val="0"/>
          <w:sz w:val="24"/>
          <w:szCs w:val="20"/>
        </w:rPr>
      </w:pPr>
    </w:p>
    <w:p>
      <w:pPr>
        <w:widowControl/>
        <w:adjustRightInd w:val="0"/>
        <w:snapToGrid w:val="0"/>
        <w:spacing w:line="400" w:lineRule="exact"/>
        <w:jc w:val="left"/>
        <w:rPr>
          <w:rFonts w:hint="default"/>
          <w:lang w:val="en-US" w:eastAsia="zh-CN"/>
        </w:rPr>
      </w:pPr>
      <w:r>
        <w:rPr>
          <w:rFonts w:ascii="Times New Roman" w:hAnsi="Times New Roman"/>
          <w:b/>
          <w:bCs/>
          <w:color w:val="auto"/>
          <w:kern w:val="0"/>
          <w:sz w:val="24"/>
          <w:szCs w:val="20"/>
        </w:rPr>
        <w:t>综合评分明细表</w:t>
      </w:r>
      <w:bookmarkEnd w:id="9"/>
      <w:r>
        <w:rPr>
          <w:rFonts w:hint="eastAsia" w:ascii="Times New Roman" w:hAnsi="Times New Roman"/>
          <w:b/>
          <w:bCs/>
          <w:color w:val="auto"/>
          <w:kern w:val="0"/>
          <w:sz w:val="24"/>
          <w:szCs w:val="20"/>
          <w:lang w:val="en-US" w:eastAsia="zh-CN"/>
        </w:rPr>
        <w:t xml:space="preserve"> 01包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分；一条技术参数不满足扣</w:t>
            </w:r>
            <w:r>
              <w:rPr>
                <w:rFonts w:hint="eastAsia" w:ascii="宋体" w:hAnsi="宋体"/>
                <w:color w:val="000000" w:themeColor="text1"/>
                <w:sz w:val="24"/>
                <w:szCs w:val="24"/>
                <w:lang w:val="en-US" w:eastAsia="zh-CN"/>
                <w14:textFill>
                  <w14:solidFill>
                    <w14:schemeClr w14:val="tx1"/>
                  </w14:solidFill>
                </w14:textFill>
              </w:rPr>
              <w:t>12</w:t>
            </w:r>
            <w:r>
              <w:rPr>
                <w:rFonts w:ascii="宋体" w:hAnsi="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参数须提供产品说明书或检测报告作为佐证。不提供不得分。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7"/>
    <w:bookmarkEnd w:id="8"/>
    <w:p>
      <w:pPr>
        <w:widowControl/>
        <w:adjustRightInd w:val="0"/>
        <w:snapToGrid w:val="0"/>
        <w:spacing w:line="400" w:lineRule="exact"/>
        <w:jc w:val="left"/>
        <w:rPr>
          <w:rFonts w:hint="default"/>
          <w:lang w:val="en-US" w:eastAsia="zh-CN"/>
        </w:rPr>
      </w:pPr>
      <w:r>
        <w:rPr>
          <w:rFonts w:ascii="Times New Roman" w:hAnsi="Times New Roman"/>
          <w:kern w:val="0"/>
          <w:sz w:val="24"/>
          <w:szCs w:val="24"/>
          <w:lang w:val="zh-CN"/>
        </w:rPr>
        <w:br w:type="page"/>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02包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4.4</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default"/>
          <w:lang w:val="en-US" w:eastAsia="zh-CN"/>
        </w:rPr>
      </w:pPr>
      <w:r>
        <w:rPr>
          <w:rFonts w:ascii="Times New Roman" w:hAnsi="Times New Roman"/>
          <w:kern w:val="0"/>
          <w:sz w:val="24"/>
          <w:szCs w:val="24"/>
          <w:lang w:val="zh-CN"/>
        </w:rPr>
        <w:br w:type="page"/>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03包</w:t>
      </w:r>
      <w:bookmarkStart w:id="51" w:name="_GoBack"/>
      <w:bookmarkEnd w:id="51"/>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19"/>
        <w:gridCol w:w="936"/>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59.5%</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59.5</w:t>
            </w:r>
            <w:r>
              <w:rPr>
                <w:rFonts w:ascii="宋体" w:hAnsi="宋体"/>
                <w:color w:val="000000" w:themeColor="text1"/>
                <w:sz w:val="24"/>
                <w:szCs w:val="24"/>
                <w14:textFill>
                  <w14:solidFill>
                    <w14:schemeClr w14:val="tx1"/>
                  </w14:solidFill>
                </w14:textFill>
              </w:rPr>
              <w:t>分；一条技术参数不满足扣</w:t>
            </w:r>
            <w:r>
              <w:rPr>
                <w:rFonts w:hint="eastAsia" w:ascii="宋体" w:hAnsi="宋体"/>
                <w:color w:val="000000" w:themeColor="text1"/>
                <w:sz w:val="24"/>
                <w:szCs w:val="24"/>
                <w:lang w:val="en-US" w:eastAsia="zh-CN"/>
                <w14:textFill>
                  <w14:solidFill>
                    <w14:schemeClr w14:val="tx1"/>
                  </w14:solidFill>
                </w14:textFill>
              </w:rPr>
              <w:t>8.5</w:t>
            </w:r>
            <w:r>
              <w:rPr>
                <w:rFonts w:ascii="宋体" w:hAnsi="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参数须提供产品说明书或检测报告作为佐证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4.5%</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ascii="Times New Roman" w:hAnsi="Times New Roman"/>
          <w:kern w:val="0"/>
          <w:sz w:val="24"/>
          <w:szCs w:val="24"/>
          <w:lang w:val="zh-CN"/>
        </w:rPr>
      </w:pPr>
    </w:p>
    <w:p>
      <w:pPr>
        <w:rPr>
          <w:rFonts w:ascii="Times New Roman" w:hAnsi="Times New Roman"/>
          <w:b/>
          <w:kern w:val="0"/>
          <w:sz w:val="32"/>
          <w:szCs w:val="20"/>
        </w:rPr>
      </w:pPr>
      <w:r>
        <w:rPr>
          <w:rFonts w:ascii="Times New Roman" w:hAnsi="Times New Roman"/>
          <w:b/>
          <w:kern w:val="0"/>
          <w:sz w:val="32"/>
          <w:szCs w:val="20"/>
        </w:rPr>
        <w:br w:type="page"/>
      </w:r>
    </w:p>
    <w:p>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40447267"/>
      <w:bookmarkStart w:id="12" w:name="_Toc52036326"/>
      <w:bookmarkStart w:id="13" w:name="_Toc33698132"/>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10129"/>
      <w:bookmarkStart w:id="31" w:name="_Toc307564880"/>
      <w:bookmarkStart w:id="32" w:name="_Toc436385992"/>
      <w:bookmarkStart w:id="33" w:name="_Toc436820890"/>
      <w:bookmarkStart w:id="34" w:name="_Toc43640412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FB20B3"/>
    <w:rsid w:val="260B04D9"/>
    <w:rsid w:val="2629095F"/>
    <w:rsid w:val="26463681"/>
    <w:rsid w:val="271909D4"/>
    <w:rsid w:val="27457A1B"/>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7C46D0"/>
    <w:rsid w:val="2E222864"/>
    <w:rsid w:val="2F053687"/>
    <w:rsid w:val="2F1239C7"/>
    <w:rsid w:val="2F5D26AF"/>
    <w:rsid w:val="2FB70420"/>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EB1"/>
    <w:rsid w:val="3E5C147A"/>
    <w:rsid w:val="3E6946D7"/>
    <w:rsid w:val="3F3026AC"/>
    <w:rsid w:val="3F694203"/>
    <w:rsid w:val="3FDC7247"/>
    <w:rsid w:val="400F2265"/>
    <w:rsid w:val="40F37FB8"/>
    <w:rsid w:val="421016D5"/>
    <w:rsid w:val="42415F57"/>
    <w:rsid w:val="4249318F"/>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5313D1"/>
    <w:rsid w:val="557F21C6"/>
    <w:rsid w:val="55DB3378"/>
    <w:rsid w:val="55F54236"/>
    <w:rsid w:val="568E6439"/>
    <w:rsid w:val="56B23F9C"/>
    <w:rsid w:val="56B93C5A"/>
    <w:rsid w:val="572A6162"/>
    <w:rsid w:val="573963A5"/>
    <w:rsid w:val="575256B8"/>
    <w:rsid w:val="578E0FAB"/>
    <w:rsid w:val="57A852D8"/>
    <w:rsid w:val="58337298"/>
    <w:rsid w:val="58360F93"/>
    <w:rsid w:val="58BA1F78"/>
    <w:rsid w:val="58BD65F9"/>
    <w:rsid w:val="58CD3249"/>
    <w:rsid w:val="596A6CE9"/>
    <w:rsid w:val="599D70BF"/>
    <w:rsid w:val="59AB58B3"/>
    <w:rsid w:val="59F42A57"/>
    <w:rsid w:val="5AA1749F"/>
    <w:rsid w:val="5AA9706F"/>
    <w:rsid w:val="5AAD383C"/>
    <w:rsid w:val="5B505E97"/>
    <w:rsid w:val="5C034EEC"/>
    <w:rsid w:val="5D627046"/>
    <w:rsid w:val="5D6A1FF5"/>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4351C"/>
    <w:rsid w:val="69EA352F"/>
    <w:rsid w:val="69FA5E67"/>
    <w:rsid w:val="6A364210"/>
    <w:rsid w:val="6A4F2F1A"/>
    <w:rsid w:val="6A5D01A4"/>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2"/>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59"/>
    <w:autoRedefine/>
    <w:qFormat/>
    <w:uiPriority w:val="0"/>
    <w:pPr>
      <w:jc w:val="left"/>
    </w:pPr>
    <w:rPr>
      <w:rFonts w:ascii="Times New Roman" w:hAnsi="Times New Roman"/>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4"/>
    <w:autoRedefine/>
    <w:qFormat/>
    <w:uiPriority w:val="0"/>
    <w:rPr>
      <w:rFonts w:ascii="Calibri" w:hAnsi="Calibri"/>
      <w:b/>
      <w:bCs/>
      <w:kern w:val="44"/>
      <w:sz w:val="44"/>
      <w:szCs w:val="44"/>
    </w:rPr>
  </w:style>
  <w:style w:type="character" w:customStyle="1" w:styleId="32">
    <w:name w:val="标题 2 Char"/>
    <w:basedOn w:val="25"/>
    <w:link w:val="5"/>
    <w:autoRedefine/>
    <w:qFormat/>
    <w:uiPriority w:val="0"/>
    <w:rPr>
      <w:rFonts w:ascii="Arial" w:hAnsi="Arial" w:eastAsia="黑体"/>
      <w:b/>
      <w:bCs/>
      <w:sz w:val="32"/>
      <w:szCs w:val="32"/>
    </w:rPr>
  </w:style>
  <w:style w:type="character" w:customStyle="1" w:styleId="33">
    <w:name w:val="标题 3 Char"/>
    <w:basedOn w:val="25"/>
    <w:link w:val="6"/>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2"/>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8"/>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2"/>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8"/>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8552</Words>
  <Characters>8889</Characters>
  <Lines>102</Lines>
  <Paragraphs>28</Paragraphs>
  <TotalTime>16</TotalTime>
  <ScaleCrop>false</ScaleCrop>
  <LinksUpToDate>false</LinksUpToDate>
  <CharactersWithSpaces>10469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2024-04-29T08:44:00Z</cp:lastPrinted>
  <dcterms:modified xsi:type="dcterms:W3CDTF">2024-05-15T02:38:50Z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F43260EA7D044F58AE47754BF9C4C356</vt:lpwstr>
  </property>
</Properties>
</file>