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8"/>
        <w:rPr>
          <w:rFonts w:hint="eastAsia" w:ascii="宋体" w:hAnsi="宋体" w:eastAsia="宋体" w:cs="宋体"/>
          <w:b/>
          <w:bCs/>
          <w:sz w:val="52"/>
          <w:szCs w:val="52"/>
          <w:lang w:eastAsia="zh-CN"/>
        </w:rPr>
      </w:pPr>
    </w:p>
    <w:p>
      <w:pPr>
        <w:pStyle w:val="8"/>
        <w:rPr>
          <w:rFonts w:hint="eastAsia" w:ascii="宋体" w:hAnsi="宋体" w:eastAsia="宋体" w:cs="宋体"/>
          <w:b/>
          <w:bCs/>
          <w:sz w:val="52"/>
          <w:szCs w:val="52"/>
          <w:lang w:eastAsia="zh-CN"/>
        </w:rPr>
      </w:pPr>
    </w:p>
    <w:p>
      <w:pPr>
        <w:pStyle w:val="8"/>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2610" w:hanging="2610" w:hangingChars="500"/>
        <w:jc w:val="left"/>
        <w:textAlignment w:val="auto"/>
        <w:rPr>
          <w:rFonts w:hint="default" w:ascii="宋体" w:hAnsi="宋体" w:eastAsia="宋体" w:cs="宋体"/>
          <w:b/>
          <w:bCs/>
          <w:sz w:val="48"/>
          <w:szCs w:val="48"/>
          <w:u w:val="single"/>
          <w:lang w:val="en-US" w:eastAsia="zh-CN"/>
        </w:rPr>
      </w:pPr>
      <w:r>
        <w:rPr>
          <w:rFonts w:hint="eastAsia" w:ascii="宋体" w:hAnsi="宋体" w:eastAsia="宋体" w:cs="宋体"/>
          <w:b/>
          <w:bCs/>
          <w:sz w:val="52"/>
          <w:szCs w:val="52"/>
          <w:u w:val="none"/>
          <w:lang w:eastAsia="zh-CN"/>
        </w:rPr>
        <w:t>项目名称：</w:t>
      </w:r>
      <w:r>
        <w:rPr>
          <w:rFonts w:hint="eastAsia" w:ascii="Times New Roman" w:hAnsi="Times New Roman" w:cs="Times New Roman"/>
          <w:b/>
          <w:bCs/>
          <w:sz w:val="48"/>
          <w:szCs w:val="48"/>
          <w:u w:val="single"/>
          <w:lang w:eastAsia="zh-CN"/>
        </w:rPr>
        <w:t>多功能输注泵、耳鸣康复治疗仪</w:t>
      </w:r>
      <w:r>
        <w:rPr>
          <w:rFonts w:hint="eastAsia" w:ascii="Times New Roman" w:hAnsi="Times New Roman"/>
          <w:b/>
          <w:bCs/>
          <w:sz w:val="48"/>
          <w:szCs w:val="48"/>
          <w:u w:val="single"/>
          <w:lang w:eastAsia="zh-CN"/>
        </w:rPr>
        <w:t>采购项目</w:t>
      </w:r>
      <w:r>
        <w:rPr>
          <w:rFonts w:hint="eastAsia" w:ascii="Times New Roman" w:hAnsi="Times New Roman"/>
          <w:b/>
          <w:bCs/>
          <w:sz w:val="48"/>
          <w:szCs w:val="48"/>
          <w:u w:val="single"/>
          <w:lang w:val="en-US" w:eastAsia="zh-CN"/>
        </w:rPr>
        <w:t xml:space="preserve">(第二次）                 </w:t>
      </w:r>
    </w:p>
    <w:p>
      <w:pPr>
        <w:pStyle w:val="7"/>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u w:val="single"/>
          <w:lang w:eastAsia="zh-CN"/>
        </w:rPr>
      </w:pPr>
    </w:p>
    <w:p>
      <w:pPr>
        <w:pStyle w:val="8"/>
        <w:ind w:left="0" w:leftChars="0" w:firstLine="0" w:firstLineChars="0"/>
        <w:rPr>
          <w:rFonts w:hint="eastAsia" w:ascii="宋体" w:hAnsi="宋体" w:eastAsia="宋体" w:cs="宋体"/>
          <w:b/>
          <w:bCs/>
          <w:sz w:val="52"/>
          <w:szCs w:val="52"/>
          <w:lang w:eastAsia="zh-CN"/>
        </w:rPr>
      </w:pPr>
    </w:p>
    <w:p>
      <w:pPr>
        <w:pStyle w:val="7"/>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jc w:val="both"/>
        <w:rPr>
          <w:rFonts w:hint="default" w:ascii="Times New Roman" w:hAnsi="Times New Roman"/>
          <w:b/>
          <w:bCs/>
          <w:sz w:val="32"/>
          <w:szCs w:val="32"/>
          <w:lang w:val="en-US"/>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w:t>
      </w:r>
      <w:r>
        <w:rPr>
          <w:rFonts w:hint="eastAsia" w:ascii="宋体" w:hAnsi="宋体" w:cs="宋体"/>
          <w:b/>
          <w:bCs/>
          <w:sz w:val="52"/>
          <w:szCs w:val="52"/>
          <w:u w:val="single"/>
          <w:lang w:val="en-US" w:eastAsia="zh-CN"/>
        </w:rPr>
        <w:t>6</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 xml:space="preserve">4日          </w:t>
      </w:r>
    </w:p>
    <w:p>
      <w:pPr>
        <w:rPr>
          <w:rFonts w:hint="eastAsia" w:ascii="Times New Roman" w:hAnsi="Times New Roman"/>
          <w:b/>
          <w:bCs/>
          <w:sz w:val="32"/>
          <w:szCs w:val="32"/>
        </w:rPr>
      </w:pPr>
      <w:r>
        <w:rPr>
          <w:rFonts w:hint="eastAsia" w:ascii="Times New Roman" w:hAnsi="Times New Roman"/>
          <w:b/>
          <w:bCs/>
          <w:sz w:val="32"/>
          <w:szCs w:val="32"/>
        </w:rPr>
        <w:br w:type="page"/>
      </w:r>
    </w:p>
    <w:p>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关于</w:t>
      </w:r>
      <w:r>
        <w:rPr>
          <w:rFonts w:hint="eastAsia" w:ascii="Times New Roman" w:hAnsi="Times New Roman"/>
          <w:b/>
          <w:bCs/>
          <w:color w:val="000000" w:themeColor="text1"/>
          <w:sz w:val="32"/>
          <w:szCs w:val="32"/>
          <w:lang w:eastAsia="zh-CN"/>
          <w14:textFill>
            <w14:solidFill>
              <w14:schemeClr w14:val="tx1"/>
            </w14:solidFill>
          </w14:textFill>
        </w:rPr>
        <w:t>多功能输注泵、耳鸣康复治疗仪</w:t>
      </w:r>
      <w:r>
        <w:rPr>
          <w:rFonts w:hint="eastAsia" w:ascii="Times New Roman" w:hAnsi="Times New Roman"/>
          <w:b/>
          <w:bCs/>
          <w:color w:val="000000" w:themeColor="text1"/>
          <w:sz w:val="32"/>
          <w:szCs w:val="32"/>
          <w14:textFill>
            <w14:solidFill>
              <w14:schemeClr w14:val="tx1"/>
            </w14:solidFill>
          </w14:textFill>
        </w:rPr>
        <w:t>的采购公告</w:t>
      </w:r>
      <w:r>
        <w:rPr>
          <w:rFonts w:hint="eastAsia" w:ascii="Times New Roman" w:hAnsi="Times New Roman"/>
          <w:b/>
          <w:bCs/>
          <w:color w:val="000000" w:themeColor="text1"/>
          <w:sz w:val="32"/>
          <w:szCs w:val="32"/>
          <w:lang w:eastAsia="zh-CN"/>
          <w14:textFill>
            <w14:solidFill>
              <w14:schemeClr w14:val="tx1"/>
            </w14:solidFill>
          </w14:textFill>
        </w:rPr>
        <w:t>（第二次）</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多功能输注泵、耳鸣康复治疗仪，</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eastAsia="zh-CN"/>
        </w:rPr>
        <w:t>多功能输注泵、耳鸣康复治疗仪采</w:t>
      </w:r>
      <w:r>
        <w:rPr>
          <w:rFonts w:ascii="Times New Roman" w:hAnsi="Times New Roman"/>
          <w:bCs/>
          <w:sz w:val="24"/>
          <w:szCs w:val="24"/>
        </w:rPr>
        <w:t>购项目</w:t>
      </w:r>
      <w:r>
        <w:rPr>
          <w:rFonts w:hint="eastAsia" w:ascii="Times New Roman" w:hAnsi="Times New Roman"/>
          <w:bCs/>
          <w:sz w:val="24"/>
          <w:szCs w:val="24"/>
          <w:lang w:eastAsia="zh-CN"/>
        </w:rPr>
        <w:t>（第二次）</w:t>
      </w:r>
    </w:p>
    <w:p>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930"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102"/>
        <w:gridCol w:w="913"/>
        <w:gridCol w:w="763"/>
        <w:gridCol w:w="1603"/>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ascii="Times New Roman" w:hAnsi="Times New Roman"/>
                <w:b/>
                <w:color w:val="auto"/>
                <w:sz w:val="24"/>
                <w:szCs w:val="24"/>
              </w:rPr>
              <w:t>数量</w:t>
            </w:r>
          </w:p>
        </w:tc>
        <w:tc>
          <w:tcPr>
            <w:tcW w:w="95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最高限价</w:t>
            </w:r>
          </w:p>
        </w:tc>
        <w:tc>
          <w:tcPr>
            <w:tcW w:w="12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01</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000000"/>
                <w:sz w:val="24"/>
                <w:szCs w:val="24"/>
                <w:lang w:eastAsia="zh-CN"/>
              </w:rPr>
              <w:t>多功能输注泵</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套</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95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4.80万元/套</w:t>
            </w:r>
          </w:p>
        </w:tc>
        <w:tc>
          <w:tcPr>
            <w:tcW w:w="1279"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02</w:t>
            </w:r>
          </w:p>
        </w:tc>
        <w:tc>
          <w:tcPr>
            <w:tcW w:w="12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eastAsia="zh-CN"/>
              </w:rPr>
              <w:t>耳鸣康复治疗仪</w:t>
            </w:r>
          </w:p>
        </w:tc>
        <w:tc>
          <w:tcPr>
            <w:tcW w:w="5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5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95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6.00万元/台</w:t>
            </w:r>
          </w:p>
        </w:tc>
        <w:tc>
          <w:tcPr>
            <w:tcW w:w="1279"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6</w:t>
      </w:r>
      <w:r>
        <w:rPr>
          <w:rFonts w:ascii="Times New Roman" w:hAnsi="Times New Roman"/>
          <w:color w:val="auto"/>
          <w:sz w:val="24"/>
          <w:szCs w:val="24"/>
        </w:rPr>
        <w:t>月</w:t>
      </w:r>
      <w:r>
        <w:rPr>
          <w:rFonts w:hint="eastAsia" w:ascii="Times New Roman" w:hAnsi="Times New Roman"/>
          <w:color w:val="auto"/>
          <w:sz w:val="24"/>
          <w:szCs w:val="24"/>
          <w:lang w:val="en-US" w:eastAsia="zh-CN"/>
        </w:rPr>
        <w:t>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6</w:t>
      </w:r>
      <w:r>
        <w:rPr>
          <w:rFonts w:ascii="Times New Roman" w:hAnsi="Times New Roman"/>
          <w:color w:val="auto"/>
          <w:sz w:val="24"/>
          <w:szCs w:val="24"/>
        </w:rPr>
        <w:t>月</w:t>
      </w:r>
      <w:r>
        <w:rPr>
          <w:rFonts w:hint="eastAsia" w:ascii="Times New Roman" w:hAnsi="Times New Roman"/>
          <w:color w:val="auto"/>
          <w:sz w:val="24"/>
          <w:szCs w:val="24"/>
          <w:lang w:val="en-US" w:eastAsia="zh-CN"/>
        </w:rPr>
        <w:t>13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eastAsia="zh-CN"/>
        </w:rPr>
        <w:t>赵</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bookmarkStart w:id="52" w:name="_GoBack"/>
      <w:bookmarkEnd w:id="52"/>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多功能输注泵、耳鸣康复治疗仪</w:t>
      </w:r>
      <w:r>
        <w:rPr>
          <w:rFonts w:hint="eastAsia" w:ascii="Times New Roman" w:hAnsi="Times New Roman"/>
          <w:color w:val="auto"/>
          <w:sz w:val="32"/>
          <w:szCs w:val="32"/>
          <w:lang w:eastAsia="zh-CN"/>
        </w:rPr>
        <w:t>的比选文件</w:t>
      </w:r>
    </w:p>
    <w:p>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多功能输注泵、耳鸣康复治疗仪，</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多功能输注泵、耳鸣康复治疗仪</w:t>
      </w:r>
      <w:r>
        <w:rPr>
          <w:rFonts w:ascii="Times New Roman" w:hAnsi="Times New Roman"/>
          <w:bCs/>
          <w:sz w:val="24"/>
          <w:szCs w:val="24"/>
        </w:rPr>
        <w:t>采购项目</w:t>
      </w:r>
      <w:r>
        <w:rPr>
          <w:rFonts w:hint="eastAsia" w:ascii="Times New Roman" w:hAnsi="Times New Roman"/>
          <w:bCs/>
          <w:sz w:val="24"/>
          <w:szCs w:val="24"/>
          <w:lang w:eastAsia="zh-CN"/>
        </w:rPr>
        <w:t>（第二次）</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4"/>
        <w:tblW w:w="484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896"/>
        <w:gridCol w:w="705"/>
        <w:gridCol w:w="839"/>
        <w:gridCol w:w="1723"/>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包号</w:t>
            </w:r>
          </w:p>
        </w:tc>
        <w:tc>
          <w:tcPr>
            <w:tcW w:w="11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设备名称</w:t>
            </w:r>
          </w:p>
        </w:tc>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ascii="Times New Roman" w:hAnsi="Times New Roman"/>
                <w:b/>
                <w:color w:val="auto"/>
                <w:sz w:val="24"/>
                <w:szCs w:val="24"/>
              </w:rPr>
              <w:t>数量</w:t>
            </w:r>
          </w:p>
        </w:tc>
        <w:tc>
          <w:tcPr>
            <w:tcW w:w="10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最高限价</w:t>
            </w:r>
          </w:p>
        </w:tc>
        <w:tc>
          <w:tcPr>
            <w:tcW w:w="13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11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lang w:eastAsia="zh-CN"/>
              </w:rPr>
              <w:t>多功能输注泵</w:t>
            </w:r>
          </w:p>
        </w:tc>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套</w:t>
            </w: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0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4.80万元/套</w:t>
            </w:r>
          </w:p>
        </w:tc>
        <w:tc>
          <w:tcPr>
            <w:tcW w:w="1364" w:type="pct"/>
            <w:tcBorders>
              <w:left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0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02</w:t>
            </w:r>
          </w:p>
        </w:tc>
        <w:tc>
          <w:tcPr>
            <w:tcW w:w="11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耳鸣康复治疗仪</w:t>
            </w:r>
          </w:p>
        </w:tc>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0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6.00万元/台</w:t>
            </w:r>
          </w:p>
        </w:tc>
        <w:tc>
          <w:tcPr>
            <w:tcW w:w="1364" w:type="pct"/>
            <w:tcBorders>
              <w:left w:val="single" w:color="auto" w:sz="4" w:space="0"/>
              <w:right w:val="single" w:color="auto" w:sz="4" w:space="0"/>
            </w:tcBorders>
            <w:vAlign w:val="center"/>
          </w:tcPr>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否</w:t>
            </w: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6</w:t>
      </w:r>
      <w:r>
        <w:rPr>
          <w:rFonts w:ascii="Times New Roman" w:hAnsi="Times New Roman"/>
          <w:color w:val="auto"/>
          <w:sz w:val="24"/>
          <w:szCs w:val="24"/>
        </w:rPr>
        <w:t>月</w:t>
      </w:r>
      <w:r>
        <w:rPr>
          <w:rFonts w:hint="eastAsia" w:ascii="Times New Roman" w:hAnsi="Times New Roman"/>
          <w:color w:val="auto"/>
          <w:sz w:val="24"/>
          <w:szCs w:val="24"/>
          <w:lang w:val="en-US" w:eastAsia="zh-CN"/>
        </w:rPr>
        <w:t>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6</w:t>
      </w:r>
      <w:r>
        <w:rPr>
          <w:rFonts w:ascii="Times New Roman" w:hAnsi="Times New Roman"/>
          <w:color w:val="auto"/>
          <w:sz w:val="24"/>
          <w:szCs w:val="24"/>
        </w:rPr>
        <w:t>月</w:t>
      </w:r>
      <w:r>
        <w:rPr>
          <w:rFonts w:hint="eastAsia" w:ascii="Times New Roman" w:hAnsi="Times New Roman"/>
          <w:color w:val="auto"/>
          <w:sz w:val="24"/>
          <w:szCs w:val="24"/>
          <w:lang w:val="en-US" w:eastAsia="zh-CN"/>
        </w:rPr>
        <w:t>13</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eastAsia="zh-CN"/>
        </w:rPr>
        <w:t>赵</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pPr>
        <w:spacing w:line="440" w:lineRule="exact"/>
        <w:rPr>
          <w:rFonts w:ascii="Times New Roman" w:hAnsi="Times New Roman"/>
          <w:b/>
          <w:kern w:val="0"/>
          <w:sz w:val="24"/>
          <w:szCs w:val="24"/>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13</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pageBreakBefore w:val="0"/>
        <w:kinsoku/>
        <w:wordWrap/>
        <w:overflowPunct/>
        <w:topLinePunct w:val="0"/>
        <w:bidi w:val="0"/>
        <w:snapToGrid/>
        <w:spacing w:line="400" w:lineRule="exact"/>
        <w:textAlignment w:val="auto"/>
        <w:rPr>
          <w:rFonts w:hint="eastAsia" w:ascii="Times New Roman" w:hAnsi="Times New Roman" w:eastAsia="宋体"/>
          <w:b w:val="0"/>
          <w:bCs/>
          <w:kern w:val="0"/>
          <w:sz w:val="24"/>
          <w:szCs w:val="24"/>
          <w:lang w:eastAsia="zh-CN"/>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r>
        <w:rPr>
          <w:rFonts w:hint="eastAsia" w:ascii="Times New Roman" w:hAnsi="Times New Roman"/>
          <w:b w:val="0"/>
          <w:bCs/>
          <w:sz w:val="24"/>
          <w:szCs w:val="24"/>
          <w:lang w:eastAsia="zh-CN"/>
        </w:rPr>
        <w:t>（一）。</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36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eastAsia="宋体" w:cs="Times New Roman" w:asciiTheme="minorEastAsia" w:hAnsiTheme="minorEastAsia"/>
          <w:b/>
          <w:kern w:val="2"/>
          <w:sz w:val="28"/>
          <w:szCs w:val="28"/>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01包 ：多功能输注泵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7" w:name="_Hlk63666625"/>
      <w:r>
        <w:rPr>
          <w:rFonts w:hint="eastAsia" w:ascii="宋体" w:hAnsi="宋体" w:eastAsia="宋体" w:cs="宋体"/>
          <w:sz w:val="24"/>
          <w:szCs w:val="24"/>
          <w:lang w:val="en-US" w:eastAsia="zh-CN"/>
        </w:rPr>
        <w:t>1</w:t>
      </w:r>
      <w:r>
        <w:rPr>
          <w:rFonts w:hint="eastAsia" w:ascii="宋体" w:hAnsi="宋体" w:eastAsia="宋体" w:cs="宋体"/>
          <w:sz w:val="24"/>
          <w:szCs w:val="24"/>
        </w:rPr>
        <w:t>、输液信息采集系统（数量：2</w:t>
      </w:r>
      <w:r>
        <w:rPr>
          <w:rFonts w:hint="eastAsia" w:ascii="宋体" w:hAnsi="宋体" w:cs="宋体"/>
          <w:sz w:val="24"/>
          <w:szCs w:val="24"/>
          <w:lang w:eastAsia="zh-CN"/>
        </w:rPr>
        <w:t>台</w:t>
      </w:r>
      <w:r>
        <w:rPr>
          <w:rFonts w:hint="eastAsia" w:ascii="宋体" w:hAnsi="宋体" w:eastAsia="宋体" w:cs="宋体"/>
          <w:sz w:val="24"/>
          <w:szCs w:val="24"/>
        </w:rPr>
        <w:t>）</w:t>
      </w:r>
    </w:p>
    <w:bookmarkEnd w:id="7"/>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输液信息采集系统以每2个通道为基本单位增减，最多可支持≥16通道，泵即插即用，配置≥4通道槽位</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输液信息采集系统只需一根电源线，可为站内输液泵/注射泵模块集中供电，输注模块之间具备联机功能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注射泵(数量：6</w:t>
      </w:r>
      <w:r>
        <w:rPr>
          <w:rFonts w:hint="eastAsia" w:ascii="宋体" w:hAnsi="宋体" w:cs="宋体"/>
          <w:sz w:val="24"/>
          <w:szCs w:val="24"/>
          <w:lang w:eastAsia="zh-CN"/>
        </w:rPr>
        <w:t>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▲注射精度≤±1.8%</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速率范围：0.01-2300ml/h, 最小步进0.01ml/h，预置输液总量范围：0.01-9999.99ml</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快进流速范围：0.01-2500ml/h，具有自动和手动快进可选；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▲可自动统计四种累计量：24h累计量、最近累计量、自定义时间段累计量、定时间隔累计量</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支持注射器规格：1ml、2ml、3ml、5ml、10ml、20ml、30ml、50/60ml；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注射器安装后，推拉盒可自动定位并固定注射器尾夹</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无需额外工具或设备，可直接在注射泵上添加注射器品牌名称</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注射模式≥6种：至少包含速度模式、时间模式、体重模式、梯度模式、微量模式、间断给药模式；具备联机功能</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▲≥3.5英寸彩色显示屏，电容触摸屏技术，支持自动锁屏，自动锁屏时间可调</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支持药物库，可储存≥6000种药物信息</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▲支持药物色彩标识，选择不同类型药物时对应的药物色彩标识自动显示在屏幕上，支持≥20种颜色</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rPr>
        <w:t>报警时可通过示意图片直观提示报警信息，在线动态压力监测，可实时显示当前压力数值</w:t>
      </w:r>
      <w:r>
        <w:rPr>
          <w:rFonts w:hint="eastAsia" w:ascii="宋体" w:hAnsi="宋体" w:cs="宋体"/>
          <w:sz w:val="24"/>
          <w:szCs w:val="24"/>
          <w:lang w:eastAsia="zh-CN"/>
        </w:rPr>
        <w:t>；</w:t>
      </w:r>
      <w:r>
        <w:rPr>
          <w:rFonts w:hint="eastAsia" w:ascii="宋体" w:hAnsi="宋体" w:eastAsia="宋体" w:cs="宋体"/>
          <w:sz w:val="24"/>
          <w:szCs w:val="24"/>
        </w:rPr>
        <w:t>压力报警阈值≥15档可调，最低50mmHg</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具备阻塞前预警提示功能，当管路压力未触发阻塞报警时，泵可自动识别压力上升并在屏幕上进行提示</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▲具备阻塞后自动重启输液功能，短暂性阻塞触发报警后，泵检测到阻塞压力缓解时，无需人为干预，泵自动重新启动输液</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信息储存：可存储3500条的历史记录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w:t>
      </w:r>
      <w:r>
        <w:rPr>
          <w:rFonts w:hint="eastAsia" w:ascii="宋体" w:hAnsi="宋体" w:eastAsia="宋体" w:cs="宋体"/>
          <w:sz w:val="24"/>
          <w:szCs w:val="24"/>
        </w:rPr>
        <w:t>电池工作时间≥5小时，防异物及进液等级IP33</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02包：耳鸣康复治疗仪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输入功率≤10W</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▲输出频率范围在70～22000Hz，允许误差±20%</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声级输出范围0-115db连续可调，输出方式分间断或者连续， 误差范围±10%</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谐波失真：≤3%</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单次最长治疗时间≤30分钟，误差范围±10%</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采用LCD显示屏实时显示处方选择等治疗信息</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采用高清无损音频解码器输出需要的音频信息；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▲左、右耳病情可通过平衡控制键进行平衡调整；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根据个人感受通过音量控制键和音调控制键对音量和音调进行调整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采用按键式操作面板</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具有≥2种耳鸣治疗模式，可以相互切换使用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安全性能符合GB9706.1--2007医用电气设备 第一部分 安全通用要求的规定</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13</w:t>
      </w:r>
      <w:r>
        <w:rPr>
          <w:rFonts w:hint="eastAsia" w:ascii="宋体" w:hAnsi="宋体" w:eastAsia="宋体" w:cs="宋体"/>
          <w:sz w:val="24"/>
          <w:szCs w:val="24"/>
          <w:lang w:eastAsia="zh-CN"/>
        </w:rPr>
        <w:t>）</w:t>
      </w:r>
      <w:r>
        <w:rPr>
          <w:rFonts w:hint="eastAsia" w:ascii="宋体" w:hAnsi="宋体" w:eastAsia="宋体" w:cs="宋体"/>
          <w:sz w:val="24"/>
          <w:szCs w:val="24"/>
        </w:rPr>
        <w:t>通过了EMC检测。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二、商务要求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1.签约地点及交货地点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1.1合同签约地点：三台县人民医院。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1.2配送及安装地址：比选人指定地点。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1.3交货期：签订合同后，接到医院通知后30日内。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2.质保期及售后服务要求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2.1质保</w:t>
      </w:r>
      <w:r>
        <w:rPr>
          <w:rFonts w:hint="eastAsia" w:ascii="宋体" w:hAnsi="宋体" w:eastAsia="宋体" w:cs="宋体"/>
          <w:sz w:val="24"/>
          <w:szCs w:val="24"/>
        </w:rPr>
        <w:t>期≥1年</w:t>
      </w:r>
      <w:r>
        <w:rPr>
          <w:rFonts w:hint="eastAsia" w:ascii="宋体" w:hAnsi="宋体" w:eastAsia="宋体" w:cs="宋体"/>
          <w:sz w:val="24"/>
          <w:szCs w:val="24"/>
          <w:lang w:val="en-US" w:eastAsia="zh-CN"/>
        </w:rPr>
        <w:t>，</w:t>
      </w:r>
      <w:bookmarkStart w:id="8" w:name="_Toc52036325"/>
      <w:bookmarkStart w:id="9" w:name="_Toc520455383"/>
      <w:r>
        <w:rPr>
          <w:rFonts w:hint="eastAsia" w:ascii="宋体" w:hAnsi="宋体" w:eastAsia="宋体" w:cs="宋体"/>
          <w:sz w:val="24"/>
          <w:szCs w:val="24"/>
          <w:lang w:val="en-US" w:eastAsia="zh-CN"/>
        </w:rPr>
        <w:t>在质保期内，所有的配件费、人工费、差旅费、运输费、搬运费等所有费用均由供应商承担。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在质保期和免费维保期内，接到采购人报修通知后卖方响应时间≤2小时；提出解决方案≤12小时；维修人员到达现场时间≤48小时（不可抗力因素除外）。保修期内对采购人进行不少于1次的回访，了解采购人设备的使用情况，及时解决有关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在设备使用期间，保证国内零配件送达时间不超过7天，进口零配件送达时间不超过20天。如果设备停产，其备件的供应期可达到8年及以上，并以优惠的价格提供该设备所需的维修零配件（在承诺书中标明零配件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3.付款方法和条件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3.1货到安装验收合格1个月内付合同总价的70% ，验收合格半年后1个月内付合同总价的20% ，验收合格一年后1个月内付合同总价10%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3.2付款方式：转账、电汇等非现金方式。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4.培训：负责设备安装、调试，确保正常运行，且负责操作人员的培训，直至操作人员对操作技术完全掌握为止，费用包含在总报价内。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5.验收：按照比选文件服务要求、响应文件响应情况和国家、行业标准进行验收。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bookmarkStart w:id="10" w:name="_Toc520455385"/>
      <w:r>
        <w:rPr>
          <w:rFonts w:hint="eastAsia" w:ascii="宋体" w:hAnsi="宋体" w:eastAsia="宋体" w:cs="宋体"/>
          <w:sz w:val="24"/>
          <w:szCs w:val="24"/>
        </w:rPr>
        <w:t>▲</w:t>
      </w:r>
      <w:r>
        <w:rPr>
          <w:rFonts w:hint="eastAsia" w:ascii="宋体" w:hAnsi="宋体" w:eastAsia="宋体" w:cs="宋体"/>
          <w:b/>
          <w:bCs/>
          <w:sz w:val="24"/>
          <w:szCs w:val="24"/>
        </w:rPr>
        <w:t>注：所有的商务要求均为实质性要求，负偏离将导致响应文件无效。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 w:val="0"/>
          <w:bCs/>
          <w:color w:val="auto"/>
          <w:kern w:val="0"/>
          <w:sz w:val="24"/>
          <w:szCs w:val="20"/>
          <w:lang w:eastAsia="zh-CN"/>
        </w:rPr>
        <w:t>。</w:t>
      </w:r>
      <w:bookmarkEnd w:id="10"/>
    </w:p>
    <w:bookmarkEnd w:id="8"/>
    <w:bookmarkEnd w:id="9"/>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r>
        <w:rPr>
          <w:rFonts w:hint="eastAsia" w:ascii="宋体" w:hAnsi="宋体" w:eastAsia="宋体" w:cs="宋体"/>
          <w:b/>
          <w:bCs/>
          <w:sz w:val="24"/>
          <w:szCs w:val="24"/>
          <w:lang w:val="en-US" w:eastAsia="zh-CN"/>
        </w:rPr>
        <w:t>01包 ：多功能输注泵</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5.5</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2.5</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jc w:val="left"/>
        <w:rPr>
          <w:rFonts w:hint="default"/>
          <w:lang w:val="en-US" w:eastAsia="zh-CN"/>
        </w:rPr>
      </w:pPr>
      <w:r>
        <w:rPr>
          <w:rFonts w:ascii="Times New Roman" w:hAnsi="Times New Roman"/>
          <w:kern w:val="0"/>
          <w:sz w:val="24"/>
          <w:szCs w:val="24"/>
          <w:lang w:val="zh-CN"/>
        </w:rPr>
        <w:br w:type="page"/>
      </w: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02包：</w:t>
      </w:r>
      <w:r>
        <w:rPr>
          <w:rFonts w:hint="eastAsia" w:ascii="宋体" w:hAnsi="宋体" w:eastAsia="宋体" w:cs="宋体"/>
          <w:b/>
          <w:bCs/>
          <w:sz w:val="24"/>
          <w:szCs w:val="24"/>
          <w:lang w:val="en-US" w:eastAsia="zh-CN"/>
        </w:rPr>
        <w:t>耳鸣康复治疗仪</w:t>
      </w:r>
    </w:p>
    <w:tbl>
      <w:tblPr>
        <w:tblStyle w:val="24"/>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766"/>
        <w:gridCol w:w="660"/>
        <w:gridCol w:w="3069"/>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06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2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6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06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2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6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06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8</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4</w:t>
            </w:r>
            <w:r>
              <w:rPr>
                <w:rFonts w:ascii="宋体" w:hAnsi="宋体"/>
                <w:color w:val="000000" w:themeColor="text1"/>
                <w:sz w:val="24"/>
                <w:szCs w:val="24"/>
                <w14:textFill>
                  <w14:solidFill>
                    <w14:schemeClr w14:val="tx1"/>
                  </w14:solidFill>
                </w14:textFill>
              </w:rPr>
              <w:t>分（实质性要求除外），扣完为止。</w:t>
            </w:r>
          </w:p>
        </w:tc>
        <w:tc>
          <w:tcPr>
            <w:tcW w:w="212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6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06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2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jc w:val="center"/>
        </w:trPr>
        <w:tc>
          <w:tcPr>
            <w:tcW w:w="57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6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06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12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ascii="Times New Roman" w:hAnsi="Times New Roman"/>
          <w:b/>
          <w:kern w:val="0"/>
          <w:sz w:val="32"/>
          <w:szCs w:val="20"/>
        </w:rPr>
      </w:pPr>
      <w:r>
        <w:rPr>
          <w:rFonts w:ascii="Times New Roman" w:hAnsi="Times New Roman"/>
          <w:b/>
          <w:kern w:val="0"/>
          <w:sz w:val="32"/>
          <w:szCs w:val="20"/>
        </w:rPr>
        <w:br w:type="page"/>
      </w:r>
    </w:p>
    <w:p>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pP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1" w:name="_Toc52036326"/>
      <w:bookmarkStart w:id="12" w:name="_Toc34051805"/>
      <w:bookmarkStart w:id="13" w:name="_Toc33709793"/>
      <w:bookmarkStart w:id="14" w:name="_Toc40447267"/>
      <w:bookmarkStart w:id="15" w:name="_Toc33698132"/>
      <w:r>
        <w:rPr>
          <w:rFonts w:ascii="Times New Roman" w:hAnsi="Times New Roman" w:eastAsia="黑体"/>
          <w:b/>
          <w:kern w:val="0"/>
          <w:sz w:val="32"/>
          <w:szCs w:val="32"/>
        </w:rPr>
        <w:t>一、封面</w:t>
      </w:r>
      <w:bookmarkEnd w:id="11"/>
      <w:bookmarkEnd w:id="12"/>
      <w:bookmarkEnd w:id="13"/>
      <w:bookmarkEnd w:id="14"/>
      <w:bookmarkEnd w:id="15"/>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6" w:name="_Toc33698133"/>
      <w:bookmarkStart w:id="17" w:name="_Toc52036327"/>
      <w:bookmarkStart w:id="18" w:name="_Toc40447268"/>
      <w:bookmarkStart w:id="19" w:name="_Toc33709794"/>
      <w:bookmarkStart w:id="20" w:name="_Toc34051806"/>
      <w:r>
        <w:rPr>
          <w:rFonts w:ascii="Times New Roman" w:hAnsi="Times New Roman" w:eastAsia="黑体"/>
          <w:b/>
          <w:kern w:val="0"/>
          <w:sz w:val="32"/>
          <w:szCs w:val="32"/>
        </w:rPr>
        <w:t>二、法定代表人/单位负责人授权书</w:t>
      </w:r>
      <w:bookmarkEnd w:id="16"/>
      <w:bookmarkEnd w:id="17"/>
      <w:bookmarkEnd w:id="18"/>
      <w:bookmarkEnd w:id="19"/>
      <w:bookmarkEnd w:id="20"/>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1" w:name="_Toc34051807"/>
      <w:bookmarkStart w:id="22" w:name="_Toc52036328"/>
      <w:bookmarkStart w:id="23" w:name="_Toc33709795"/>
      <w:bookmarkStart w:id="24" w:name="_Toc33698134"/>
      <w:bookmarkStart w:id="25" w:name="_Toc40447269"/>
      <w:r>
        <w:rPr>
          <w:rFonts w:ascii="Times New Roman" w:hAnsi="Times New Roman" w:eastAsia="黑体"/>
          <w:b/>
          <w:kern w:val="0"/>
          <w:sz w:val="32"/>
          <w:szCs w:val="32"/>
        </w:rPr>
        <w:t>三、承诺函</w:t>
      </w:r>
      <w:bookmarkEnd w:id="21"/>
      <w:bookmarkEnd w:id="22"/>
      <w:bookmarkEnd w:id="23"/>
      <w:bookmarkEnd w:id="24"/>
      <w:bookmarkEnd w:id="25"/>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6" w:name="_Toc34051808"/>
      <w:bookmarkStart w:id="27" w:name="_Toc33698135"/>
      <w:bookmarkStart w:id="28" w:name="_Toc33709796"/>
      <w:bookmarkStart w:id="29" w:name="_Toc52036329"/>
      <w:bookmarkStart w:id="30" w:name="_Toc40447270"/>
      <w:r>
        <w:rPr>
          <w:rFonts w:ascii="Times New Roman" w:hAnsi="Times New Roman" w:eastAsia="黑体"/>
          <w:b/>
          <w:kern w:val="0"/>
          <w:sz w:val="32"/>
          <w:szCs w:val="32"/>
        </w:rPr>
        <w:t>四、比选申请人、报价产品资格、资质性及其他类似效力要求的相关证明材料</w:t>
      </w:r>
      <w:bookmarkEnd w:id="26"/>
      <w:bookmarkEnd w:id="27"/>
      <w:bookmarkEnd w:id="28"/>
      <w:bookmarkEnd w:id="29"/>
      <w:bookmarkEnd w:id="30"/>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1" w:name="_Toc436410129"/>
      <w:bookmarkStart w:id="32" w:name="_Toc307564880"/>
      <w:bookmarkStart w:id="33" w:name="_Toc436385992"/>
      <w:bookmarkStart w:id="34" w:name="_Toc436820890"/>
      <w:bookmarkStart w:id="35" w:name="_Toc436404120"/>
      <w:r>
        <w:rPr>
          <w:rFonts w:ascii="Times New Roman" w:hAnsi="Times New Roman"/>
          <w:kern w:val="0"/>
          <w:sz w:val="24"/>
          <w:szCs w:val="20"/>
        </w:rPr>
        <w:br w:type="page"/>
      </w:r>
      <w:bookmarkEnd w:id="31"/>
      <w:bookmarkEnd w:id="32"/>
      <w:bookmarkEnd w:id="33"/>
      <w:bookmarkEnd w:id="34"/>
      <w:bookmarkEnd w:id="35"/>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6" w:name="_Toc503986415"/>
      <w:bookmarkStart w:id="37" w:name="_Toc503987183"/>
      <w:bookmarkStart w:id="38" w:name="_Toc503987104"/>
      <w:bookmarkStart w:id="39" w:name="_Toc503986838"/>
      <w:bookmarkStart w:id="40" w:name="_Toc503987293"/>
      <w:bookmarkStart w:id="41"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2" w:name="_Toc33709797"/>
      <w:bookmarkStart w:id="43" w:name="_Toc52036330"/>
      <w:bookmarkStart w:id="44" w:name="_Toc33698136"/>
      <w:bookmarkStart w:id="45" w:name="_Toc34051809"/>
      <w:bookmarkStart w:id="46" w:name="_Toc40447271"/>
      <w:r>
        <w:rPr>
          <w:rFonts w:ascii="Times New Roman" w:hAnsi="Times New Roman" w:eastAsia="黑体"/>
          <w:b/>
          <w:kern w:val="0"/>
          <w:sz w:val="32"/>
          <w:szCs w:val="32"/>
        </w:rPr>
        <w:t>八、满足实质性要求承诺函</w:t>
      </w:r>
      <w:bookmarkEnd w:id="36"/>
      <w:bookmarkEnd w:id="37"/>
      <w:bookmarkEnd w:id="38"/>
      <w:bookmarkEnd w:id="39"/>
      <w:bookmarkEnd w:id="40"/>
      <w:bookmarkEnd w:id="41"/>
      <w:bookmarkEnd w:id="42"/>
      <w:bookmarkEnd w:id="43"/>
      <w:bookmarkEnd w:id="44"/>
      <w:bookmarkEnd w:id="45"/>
      <w:bookmarkEnd w:id="4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7" w:name="_Toc40447272"/>
      <w:bookmarkStart w:id="48" w:name="_Toc33698137"/>
      <w:bookmarkStart w:id="49" w:name="_Toc52036331"/>
      <w:bookmarkStart w:id="50" w:name="_Toc34051810"/>
      <w:bookmarkStart w:id="51" w:name="_Toc33709798"/>
      <w:r>
        <w:rPr>
          <w:rFonts w:ascii="Times New Roman" w:hAnsi="Times New Roman" w:eastAsia="黑体"/>
          <w:b/>
          <w:kern w:val="0"/>
          <w:sz w:val="32"/>
          <w:szCs w:val="32"/>
        </w:rPr>
        <w:t>九、知识产权承诺函</w:t>
      </w:r>
      <w:bookmarkEnd w:id="47"/>
      <w:bookmarkEnd w:id="48"/>
      <w:bookmarkEnd w:id="49"/>
      <w:bookmarkEnd w:id="50"/>
      <w:bookmarkEnd w:id="51"/>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4F95034"/>
    <w:rsid w:val="151614F8"/>
    <w:rsid w:val="15200185"/>
    <w:rsid w:val="15304B56"/>
    <w:rsid w:val="15EA028F"/>
    <w:rsid w:val="15F01D49"/>
    <w:rsid w:val="16CA07EC"/>
    <w:rsid w:val="17122347"/>
    <w:rsid w:val="17261D73"/>
    <w:rsid w:val="17F6222D"/>
    <w:rsid w:val="18461C09"/>
    <w:rsid w:val="186C1AAD"/>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A3ACA"/>
    <w:rsid w:val="20A2053B"/>
    <w:rsid w:val="20D42641"/>
    <w:rsid w:val="20D54F08"/>
    <w:rsid w:val="20E829B6"/>
    <w:rsid w:val="20ED7DFF"/>
    <w:rsid w:val="20F14BC7"/>
    <w:rsid w:val="21A63C04"/>
    <w:rsid w:val="21C5052E"/>
    <w:rsid w:val="21F51B2A"/>
    <w:rsid w:val="22034BB2"/>
    <w:rsid w:val="22BC4191"/>
    <w:rsid w:val="22CA3482"/>
    <w:rsid w:val="22F31C41"/>
    <w:rsid w:val="23A6613D"/>
    <w:rsid w:val="23EE3640"/>
    <w:rsid w:val="24205EF8"/>
    <w:rsid w:val="247F6619"/>
    <w:rsid w:val="24F96C22"/>
    <w:rsid w:val="255A2675"/>
    <w:rsid w:val="25CE6475"/>
    <w:rsid w:val="25E3253D"/>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311450"/>
    <w:rsid w:val="40F37FB8"/>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B14033"/>
    <w:rsid w:val="52D6758C"/>
    <w:rsid w:val="531C155C"/>
    <w:rsid w:val="53455021"/>
    <w:rsid w:val="5367649F"/>
    <w:rsid w:val="538A508B"/>
    <w:rsid w:val="5422686A"/>
    <w:rsid w:val="544A22D3"/>
    <w:rsid w:val="54B75204"/>
    <w:rsid w:val="54B90F7D"/>
    <w:rsid w:val="54DC4808"/>
    <w:rsid w:val="550E0B38"/>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505E97"/>
    <w:rsid w:val="5C034EEC"/>
    <w:rsid w:val="5D627046"/>
    <w:rsid w:val="5D6A1FF5"/>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59"/>
    <w:autoRedefine/>
    <w:qFormat/>
    <w:uiPriority w:val="0"/>
    <w:pPr>
      <w:jc w:val="left"/>
    </w:pPr>
    <w:rPr>
      <w:rFonts w:ascii="Times New Roman" w:hAnsi="Times New Roman"/>
    </w:rPr>
  </w:style>
  <w:style w:type="paragraph" w:styleId="7">
    <w:name w:val="Body Text"/>
    <w:basedOn w:val="1"/>
    <w:next w:val="8"/>
    <w:link w:val="52"/>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next w:val="10"/>
    <w:link w:val="53"/>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69"/>
    <w:autoRedefine/>
    <w:qFormat/>
    <w:uiPriority w:val="0"/>
    <w:rPr>
      <w:rFonts w:ascii="宋体" w:hAnsi="Courier New" w:cs="Courier New"/>
      <w:szCs w:val="21"/>
    </w:rPr>
  </w:style>
  <w:style w:type="paragraph" w:styleId="13">
    <w:name w:val="Date"/>
    <w:basedOn w:val="1"/>
    <w:next w:val="1"/>
    <w:link w:val="58"/>
    <w:autoRedefine/>
    <w:qFormat/>
    <w:uiPriority w:val="0"/>
    <w:pPr>
      <w:ind w:left="100" w:leftChars="2500"/>
    </w:pPr>
    <w:rPr>
      <w:rFonts w:ascii="Times New Roman" w:hAnsi="Times New Roman"/>
    </w:rPr>
  </w:style>
  <w:style w:type="paragraph" w:styleId="14">
    <w:name w:val="Body Text Indent 2"/>
    <w:basedOn w:val="1"/>
    <w:link w:val="57"/>
    <w:autoRedefine/>
    <w:qFormat/>
    <w:uiPriority w:val="0"/>
    <w:pPr>
      <w:spacing w:after="120" w:line="480" w:lineRule="auto"/>
      <w:ind w:left="420" w:leftChars="200"/>
    </w:pPr>
  </w:style>
  <w:style w:type="paragraph" w:styleId="15">
    <w:name w:val="Balloon Text"/>
    <w:basedOn w:val="1"/>
    <w:link w:val="68"/>
    <w:autoRedefine/>
    <w:qFormat/>
    <w:uiPriority w:val="0"/>
    <w:rPr>
      <w:rFonts w:ascii="Times New Roman" w:hAnsi="Times New Roman"/>
      <w:sz w:val="18"/>
      <w:szCs w:val="18"/>
    </w:rPr>
  </w:style>
  <w:style w:type="paragraph" w:styleId="16">
    <w:name w:val="footer"/>
    <w:basedOn w:val="1"/>
    <w:link w:val="67"/>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4"/>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customStyle="1" w:styleId="31">
    <w:name w:val="标题 1 Char"/>
    <w:basedOn w:val="25"/>
    <w:link w:val="2"/>
    <w:autoRedefine/>
    <w:qFormat/>
    <w:uiPriority w:val="0"/>
    <w:rPr>
      <w:rFonts w:ascii="Calibri" w:hAnsi="Calibri"/>
      <w:b/>
      <w:bCs/>
      <w:kern w:val="44"/>
      <w:sz w:val="44"/>
      <w:szCs w:val="44"/>
    </w:rPr>
  </w:style>
  <w:style w:type="character" w:customStyle="1" w:styleId="32">
    <w:name w:val="标题 2 Char"/>
    <w:basedOn w:val="25"/>
    <w:link w:val="3"/>
    <w:autoRedefine/>
    <w:qFormat/>
    <w:uiPriority w:val="0"/>
    <w:rPr>
      <w:rFonts w:ascii="Arial" w:hAnsi="Arial" w:eastAsia="黑体"/>
      <w:b/>
      <w:bCs/>
      <w:sz w:val="32"/>
      <w:szCs w:val="32"/>
    </w:rPr>
  </w:style>
  <w:style w:type="character" w:customStyle="1" w:styleId="33">
    <w:name w:val="标题 3 Char"/>
    <w:basedOn w:val="25"/>
    <w:link w:val="4"/>
    <w:autoRedefine/>
    <w:qFormat/>
    <w:uiPriority w:val="0"/>
    <w:rPr>
      <w:rFonts w:ascii="Calibri" w:hAnsi="Calibri"/>
      <w:b/>
      <w:bCs/>
      <w:kern w:val="2"/>
      <w:sz w:val="32"/>
      <w:szCs w:val="32"/>
    </w:rPr>
  </w:style>
  <w:style w:type="character" w:customStyle="1" w:styleId="34">
    <w:name w:val="批注框文本 Char"/>
    <w:link w:val="15"/>
    <w:autoRedefine/>
    <w:qFormat/>
    <w:uiPriority w:val="0"/>
    <w:rPr>
      <w:kern w:val="2"/>
      <w:sz w:val="18"/>
      <w:szCs w:val="18"/>
    </w:rPr>
  </w:style>
  <w:style w:type="character" w:customStyle="1" w:styleId="35">
    <w:name w:val="纯文本 Char1"/>
    <w:autoRedefine/>
    <w:unhideWhenUsed/>
    <w:qFormat/>
    <w:uiPriority w:val="99"/>
    <w:rPr>
      <w:rFonts w:hint="eastAsia" w:ascii="宋体" w:hAnsi="Tms Rmn" w:eastAsia="宋体"/>
      <w:sz w:val="21"/>
      <w:lang w:val="en-US" w:eastAsia="zh-CN"/>
    </w:rPr>
  </w:style>
  <w:style w:type="character" w:customStyle="1" w:styleId="36">
    <w:name w:val="页眉 Char"/>
    <w:link w:val="17"/>
    <w:autoRedefine/>
    <w:qFormat/>
    <w:uiPriority w:val="0"/>
    <w:rPr>
      <w:kern w:val="2"/>
      <w:sz w:val="18"/>
      <w:szCs w:val="18"/>
    </w:rPr>
  </w:style>
  <w:style w:type="character" w:customStyle="1" w:styleId="37">
    <w:name w:val="正文文本缩进 Char"/>
    <w:link w:val="9"/>
    <w:autoRedefine/>
    <w:qFormat/>
    <w:uiPriority w:val="0"/>
    <w:rPr>
      <w:kern w:val="2"/>
      <w:sz w:val="21"/>
      <w:szCs w:val="24"/>
    </w:rPr>
  </w:style>
  <w:style w:type="character" w:customStyle="1" w:styleId="38">
    <w:name w:val="批注主题 Char"/>
    <w:link w:val="22"/>
    <w:autoRedefine/>
    <w:qFormat/>
    <w:uiPriority w:val="0"/>
    <w:rPr>
      <w:b/>
      <w:bCs/>
      <w:kern w:val="2"/>
      <w:sz w:val="21"/>
      <w:szCs w:val="24"/>
    </w:rPr>
  </w:style>
  <w:style w:type="paragraph" w:customStyle="1" w:styleId="39">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autoRedefine/>
    <w:qFormat/>
    <w:uiPriority w:val="0"/>
  </w:style>
  <w:style w:type="character" w:customStyle="1" w:styleId="41">
    <w:name w:val="纯文本 Char"/>
    <w:link w:val="12"/>
    <w:autoRedefine/>
    <w:qFormat/>
    <w:locked/>
    <w:uiPriority w:val="0"/>
    <w:rPr>
      <w:rFonts w:ascii="宋体" w:hAnsi="Courier New" w:cs="Courier New"/>
      <w:kern w:val="2"/>
      <w:sz w:val="21"/>
      <w:szCs w:val="21"/>
    </w:rPr>
  </w:style>
  <w:style w:type="character" w:customStyle="1" w:styleId="42">
    <w:name w:val="日期 Char"/>
    <w:link w:val="13"/>
    <w:autoRedefine/>
    <w:qFormat/>
    <w:uiPriority w:val="0"/>
    <w:rPr>
      <w:kern w:val="2"/>
      <w:sz w:val="21"/>
      <w:szCs w:val="24"/>
    </w:rPr>
  </w:style>
  <w:style w:type="character" w:customStyle="1" w:styleId="43">
    <w:name w:val="正文文本 Char"/>
    <w:link w:val="7"/>
    <w:autoRedefine/>
    <w:qFormat/>
    <w:uiPriority w:val="0"/>
    <w:rPr>
      <w:kern w:val="2"/>
      <w:sz w:val="21"/>
      <w:szCs w:val="24"/>
    </w:rPr>
  </w:style>
  <w:style w:type="character" w:customStyle="1" w:styleId="44">
    <w:name w:val="标题 Char"/>
    <w:link w:val="21"/>
    <w:autoRedefine/>
    <w:qFormat/>
    <w:locked/>
    <w:uiPriority w:val="0"/>
    <w:rPr>
      <w:rFonts w:ascii="Cambria" w:hAnsi="Cambria"/>
      <w:b/>
      <w:bCs/>
      <w:kern w:val="2"/>
      <w:sz w:val="32"/>
      <w:szCs w:val="32"/>
    </w:rPr>
  </w:style>
  <w:style w:type="character" w:customStyle="1" w:styleId="45">
    <w:name w:val="正文首行缩进两字符 Char Char"/>
    <w:link w:val="46"/>
    <w:autoRedefine/>
    <w:qFormat/>
    <w:locked/>
    <w:uiPriority w:val="99"/>
    <w:rPr>
      <w:kern w:val="2"/>
      <w:sz w:val="21"/>
    </w:rPr>
  </w:style>
  <w:style w:type="paragraph" w:customStyle="1" w:styleId="46">
    <w:name w:val="正文首行缩进两字符"/>
    <w:basedOn w:val="1"/>
    <w:link w:val="45"/>
    <w:autoRedefine/>
    <w:qFormat/>
    <w:uiPriority w:val="99"/>
    <w:pPr>
      <w:spacing w:line="360" w:lineRule="auto"/>
      <w:ind w:firstLine="200" w:firstLineChars="200"/>
    </w:pPr>
    <w:rPr>
      <w:rFonts w:ascii="Times New Roman" w:hAnsi="Times New Roman"/>
      <w:szCs w:val="20"/>
    </w:rPr>
  </w:style>
  <w:style w:type="character" w:customStyle="1" w:styleId="47">
    <w:name w:val="批注文字 Char"/>
    <w:link w:val="6"/>
    <w:autoRedefine/>
    <w:qFormat/>
    <w:uiPriority w:val="0"/>
    <w:rPr>
      <w:kern w:val="2"/>
      <w:sz w:val="21"/>
      <w:szCs w:val="24"/>
    </w:rPr>
  </w:style>
  <w:style w:type="character" w:customStyle="1" w:styleId="48">
    <w:name w:val="NormalCharacter"/>
    <w:autoRedefine/>
    <w:qFormat/>
    <w:uiPriority w:val="0"/>
  </w:style>
  <w:style w:type="character" w:customStyle="1" w:styleId="49">
    <w:name w:val="页脚 Char"/>
    <w:link w:val="16"/>
    <w:autoRedefine/>
    <w:qFormat/>
    <w:uiPriority w:val="99"/>
    <w:rPr>
      <w:kern w:val="2"/>
      <w:sz w:val="18"/>
      <w:szCs w:val="18"/>
    </w:rPr>
  </w:style>
  <w:style w:type="paragraph" w:customStyle="1" w:styleId="50">
    <w:name w:val="中等深浅网格 1 - 着色 21"/>
    <w:basedOn w:val="1"/>
    <w:autoRedefine/>
    <w:qFormat/>
    <w:uiPriority w:val="34"/>
    <w:pPr>
      <w:ind w:firstLine="420" w:firstLineChars="200"/>
    </w:pPr>
    <w:rPr>
      <w:sz w:val="20"/>
      <w:szCs w:val="20"/>
    </w:rPr>
  </w:style>
  <w:style w:type="paragraph" w:customStyle="1" w:styleId="51">
    <w:name w:val="图表左对齐"/>
    <w:basedOn w:val="1"/>
    <w:autoRedefine/>
    <w:qFormat/>
    <w:uiPriority w:val="0"/>
    <w:pPr>
      <w:widowControl/>
      <w:spacing w:line="360" w:lineRule="exact"/>
      <w:jc w:val="left"/>
    </w:pPr>
    <w:rPr>
      <w:spacing w:val="-10"/>
      <w:kern w:val="0"/>
      <w:sz w:val="24"/>
      <w:szCs w:val="28"/>
    </w:rPr>
  </w:style>
  <w:style w:type="character" w:customStyle="1" w:styleId="52">
    <w:name w:val="正文文本 Char1"/>
    <w:basedOn w:val="25"/>
    <w:link w:val="7"/>
    <w:autoRedefine/>
    <w:qFormat/>
    <w:uiPriority w:val="0"/>
    <w:rPr>
      <w:rFonts w:ascii="Calibri" w:hAnsi="Calibri"/>
      <w:kern w:val="2"/>
      <w:sz w:val="21"/>
      <w:szCs w:val="24"/>
    </w:rPr>
  </w:style>
  <w:style w:type="character" w:customStyle="1" w:styleId="53">
    <w:name w:val="正文文本缩进 Char1"/>
    <w:basedOn w:val="25"/>
    <w:link w:val="9"/>
    <w:autoRedefine/>
    <w:qFormat/>
    <w:uiPriority w:val="0"/>
    <w:rPr>
      <w:rFonts w:ascii="Calibri" w:hAnsi="Calibri"/>
      <w:kern w:val="2"/>
      <w:sz w:val="21"/>
      <w:szCs w:val="24"/>
    </w:rPr>
  </w:style>
  <w:style w:type="paragraph" w:styleId="54">
    <w:name w:val="List Paragraph"/>
    <w:basedOn w:val="1"/>
    <w:autoRedefine/>
    <w:qFormat/>
    <w:uiPriority w:val="34"/>
    <w:pPr>
      <w:ind w:firstLine="420" w:firstLineChars="200"/>
    </w:pPr>
  </w:style>
  <w:style w:type="paragraph" w:customStyle="1" w:styleId="5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autoRedefine/>
    <w:qFormat/>
    <w:uiPriority w:val="0"/>
    <w:rPr>
      <w:rFonts w:asciiTheme="majorHAnsi" w:hAnsiTheme="majorHAnsi" w:cstheme="majorBidi"/>
      <w:b/>
      <w:bCs/>
      <w:kern w:val="2"/>
      <w:sz w:val="32"/>
      <w:szCs w:val="32"/>
    </w:rPr>
  </w:style>
  <w:style w:type="character" w:customStyle="1" w:styleId="57">
    <w:name w:val="正文文本缩进 2 Char"/>
    <w:basedOn w:val="25"/>
    <w:link w:val="14"/>
    <w:autoRedefine/>
    <w:qFormat/>
    <w:uiPriority w:val="0"/>
    <w:rPr>
      <w:rFonts w:ascii="Calibri" w:hAnsi="Calibri"/>
      <w:kern w:val="2"/>
      <w:sz w:val="21"/>
      <w:szCs w:val="24"/>
    </w:rPr>
  </w:style>
  <w:style w:type="character" w:customStyle="1" w:styleId="58">
    <w:name w:val="日期 Char1"/>
    <w:basedOn w:val="25"/>
    <w:link w:val="13"/>
    <w:autoRedefine/>
    <w:qFormat/>
    <w:uiPriority w:val="0"/>
    <w:rPr>
      <w:rFonts w:ascii="Calibri" w:hAnsi="Calibri"/>
      <w:kern w:val="2"/>
      <w:sz w:val="21"/>
      <w:szCs w:val="24"/>
    </w:rPr>
  </w:style>
  <w:style w:type="character" w:customStyle="1" w:styleId="59">
    <w:name w:val="批注文字 Char1"/>
    <w:basedOn w:val="25"/>
    <w:link w:val="6"/>
    <w:autoRedefine/>
    <w:qFormat/>
    <w:uiPriority w:val="0"/>
    <w:rPr>
      <w:rFonts w:ascii="Calibri" w:hAnsi="Calibri"/>
      <w:kern w:val="2"/>
      <w:sz w:val="21"/>
      <w:szCs w:val="24"/>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styleId="6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autoRedefine/>
    <w:qFormat/>
    <w:uiPriority w:val="0"/>
    <w:rPr>
      <w:rFonts w:ascii="Tahoma" w:hAnsi="Tahoma"/>
      <w:sz w:val="24"/>
      <w:szCs w:val="20"/>
    </w:rPr>
  </w:style>
  <w:style w:type="paragraph" w:customStyle="1" w:styleId="63">
    <w:name w:val="p0"/>
    <w:basedOn w:val="1"/>
    <w:autoRedefine/>
    <w:qFormat/>
    <w:uiPriority w:val="99"/>
    <w:pPr>
      <w:widowControl/>
    </w:pPr>
    <w:rPr>
      <w:kern w:val="0"/>
      <w:szCs w:val="20"/>
    </w:rPr>
  </w:style>
  <w:style w:type="character" w:customStyle="1" w:styleId="64">
    <w:name w:val="批注主题 Char1"/>
    <w:basedOn w:val="59"/>
    <w:link w:val="22"/>
    <w:autoRedefine/>
    <w:qFormat/>
    <w:uiPriority w:val="0"/>
    <w:rPr>
      <w:b/>
      <w:bCs/>
    </w:rPr>
  </w:style>
  <w:style w:type="paragraph" w:customStyle="1" w:styleId="65">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6"/>
    <w:autoRedefine/>
    <w:qFormat/>
    <w:uiPriority w:val="0"/>
    <w:rPr>
      <w:rFonts w:ascii="Calibri" w:hAnsi="Calibri"/>
      <w:kern w:val="2"/>
      <w:sz w:val="18"/>
      <w:szCs w:val="18"/>
    </w:rPr>
  </w:style>
  <w:style w:type="character" w:customStyle="1" w:styleId="68">
    <w:name w:val="批注框文本 Char1"/>
    <w:basedOn w:val="25"/>
    <w:link w:val="15"/>
    <w:autoRedefine/>
    <w:qFormat/>
    <w:uiPriority w:val="0"/>
    <w:rPr>
      <w:rFonts w:ascii="Calibri" w:hAnsi="Calibri"/>
      <w:kern w:val="2"/>
      <w:sz w:val="18"/>
      <w:szCs w:val="18"/>
    </w:rPr>
  </w:style>
  <w:style w:type="character" w:customStyle="1" w:styleId="69">
    <w:name w:val="纯文本 Char2"/>
    <w:basedOn w:val="25"/>
    <w:link w:val="12"/>
    <w:autoRedefine/>
    <w:qFormat/>
    <w:uiPriority w:val="0"/>
    <w:rPr>
      <w:rFonts w:ascii="宋体" w:hAnsi="Courier New" w:cs="Courier New"/>
      <w:kern w:val="2"/>
      <w:sz w:val="21"/>
      <w:szCs w:val="21"/>
    </w:rPr>
  </w:style>
  <w:style w:type="paragraph" w:customStyle="1" w:styleId="70">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7"/>
    <w:autoRedefine/>
    <w:qFormat/>
    <w:uiPriority w:val="0"/>
    <w:rPr>
      <w:rFonts w:ascii="Calibri" w:hAnsi="Calibri"/>
      <w:kern w:val="2"/>
      <w:sz w:val="18"/>
      <w:szCs w:val="18"/>
    </w:rPr>
  </w:style>
  <w:style w:type="paragraph" w:customStyle="1" w:styleId="72">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8633</Words>
  <Characters>9104</Characters>
  <Lines>102</Lines>
  <Paragraphs>28</Paragraphs>
  <TotalTime>3</TotalTime>
  <ScaleCrop>false</ScaleCrop>
  <LinksUpToDate>false</LinksUpToDate>
  <CharactersWithSpaces>10552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燕子</cp:lastModifiedBy>
  <cp:lastPrinted>2024-04-29T08:44:00Z</cp:lastPrinted>
  <dcterms:modified xsi:type="dcterms:W3CDTF">2024-06-04T00:29:42Z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F43260EA7D044F58AE47754BF9C4C356</vt:lpwstr>
  </property>
</Properties>
</file>