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6D40CFF0">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新生儿转运暖箱</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eastAsia="宋体" w:cs="宋体"/>
          <w:b/>
          <w:bCs/>
          <w:sz w:val="52"/>
          <w:szCs w:val="52"/>
          <w:u w:val="single"/>
          <w:lang w:val="en-US" w:eastAsia="zh-CN"/>
        </w:rPr>
        <w:t>采购项目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年0</w:t>
      </w:r>
      <w:r>
        <w:rPr>
          <w:rFonts w:hint="eastAsia" w:ascii="宋体" w:hAnsi="宋体" w:cs="宋体"/>
          <w:b/>
          <w:bCs/>
          <w:color w:val="000000"/>
          <w:sz w:val="52"/>
          <w:szCs w:val="52"/>
          <w:u w:val="single"/>
          <w:lang w:val="en-US" w:eastAsia="zh-CN"/>
        </w:rPr>
        <w:t>8</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14</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8"/>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4D13FAB5">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p>
    <w:p w14:paraId="3D22BF23">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新生儿转运暖箱的采购公告</w:t>
      </w: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新生儿转运暖箱</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新生儿转运暖箱</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5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842"/>
        <w:gridCol w:w="845"/>
        <w:gridCol w:w="1936"/>
        <w:gridCol w:w="1845"/>
      </w:tblGrid>
      <w:tr w14:paraId="6A57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8"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508"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ascii="Times New Roman" w:hAnsi="Times New Roman"/>
                <w:b/>
                <w:color w:val="auto"/>
                <w:sz w:val="24"/>
                <w:szCs w:val="24"/>
              </w:rPr>
              <w:t>数量</w:t>
            </w:r>
          </w:p>
        </w:tc>
        <w:tc>
          <w:tcPr>
            <w:tcW w:w="1168"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113"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14:paraId="745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8" w:type="pct"/>
            <w:tcBorders>
              <w:top w:val="single" w:color="auto" w:sz="4" w:space="0"/>
              <w:left w:val="single" w:color="auto" w:sz="4" w:space="0"/>
              <w:bottom w:val="single" w:color="auto" w:sz="4" w:space="0"/>
              <w:right w:val="single" w:color="auto" w:sz="4" w:space="0"/>
            </w:tcBorders>
            <w:vAlign w:val="center"/>
          </w:tcPr>
          <w:p w14:paraId="10094F1C">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新生儿转运暖箱</w:t>
            </w:r>
          </w:p>
        </w:tc>
        <w:tc>
          <w:tcPr>
            <w:tcW w:w="508" w:type="pct"/>
            <w:tcBorders>
              <w:top w:val="single" w:color="auto" w:sz="4" w:space="0"/>
              <w:left w:val="single" w:color="auto" w:sz="4" w:space="0"/>
              <w:bottom w:val="single" w:color="auto" w:sz="4" w:space="0"/>
              <w:right w:val="single" w:color="auto" w:sz="4" w:space="0"/>
            </w:tcBorders>
            <w:vAlign w:val="center"/>
          </w:tcPr>
          <w:p w14:paraId="2A68DBE0">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168"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16.00</w:t>
            </w:r>
          </w:p>
        </w:tc>
        <w:tc>
          <w:tcPr>
            <w:tcW w:w="1113" w:type="pct"/>
            <w:tcBorders>
              <w:left w:val="single" w:color="auto" w:sz="4" w:space="0"/>
              <w:right w:val="single" w:color="auto" w:sz="4" w:space="0"/>
            </w:tcBorders>
            <w:vAlign w:val="center"/>
          </w:tcPr>
          <w:p w14:paraId="0C6E7F84">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14</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新生儿转运暖箱</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新生儿转运暖箱</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新生儿转运暖箱</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5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842"/>
        <w:gridCol w:w="845"/>
        <w:gridCol w:w="1936"/>
        <w:gridCol w:w="1845"/>
      </w:tblGrid>
      <w:tr w14:paraId="4D1F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8" w:type="pct"/>
            <w:tcBorders>
              <w:top w:val="single" w:color="auto" w:sz="4" w:space="0"/>
              <w:left w:val="single" w:color="auto" w:sz="4" w:space="0"/>
              <w:bottom w:val="single" w:color="auto" w:sz="4" w:space="0"/>
              <w:right w:val="single" w:color="auto" w:sz="4" w:space="0"/>
            </w:tcBorders>
            <w:vAlign w:val="center"/>
          </w:tcPr>
          <w:p w14:paraId="34BE4A52">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508" w:type="pct"/>
            <w:tcBorders>
              <w:top w:val="single" w:color="auto" w:sz="4" w:space="0"/>
              <w:left w:val="single" w:color="auto" w:sz="4" w:space="0"/>
              <w:bottom w:val="single" w:color="auto" w:sz="4" w:space="0"/>
              <w:right w:val="single" w:color="auto" w:sz="4" w:space="0"/>
            </w:tcBorders>
            <w:vAlign w:val="center"/>
          </w:tcPr>
          <w:p w14:paraId="501F9C65">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510" w:type="pct"/>
            <w:tcBorders>
              <w:top w:val="single" w:color="auto" w:sz="4" w:space="0"/>
              <w:left w:val="single" w:color="auto" w:sz="4" w:space="0"/>
              <w:bottom w:val="single" w:color="auto" w:sz="4" w:space="0"/>
              <w:right w:val="single" w:color="auto" w:sz="4" w:space="0"/>
            </w:tcBorders>
            <w:vAlign w:val="center"/>
          </w:tcPr>
          <w:p w14:paraId="538B05A3">
            <w:pPr>
              <w:jc w:val="center"/>
              <w:rPr>
                <w:rFonts w:ascii="Times New Roman" w:hAnsi="Times New Roman"/>
                <w:b/>
                <w:color w:val="auto"/>
                <w:sz w:val="24"/>
                <w:szCs w:val="24"/>
              </w:rPr>
            </w:pPr>
            <w:r>
              <w:rPr>
                <w:rFonts w:ascii="Times New Roman" w:hAnsi="Times New Roman"/>
                <w:b/>
                <w:color w:val="auto"/>
                <w:sz w:val="24"/>
                <w:szCs w:val="24"/>
              </w:rPr>
              <w:t>数量</w:t>
            </w:r>
          </w:p>
        </w:tc>
        <w:tc>
          <w:tcPr>
            <w:tcW w:w="1168" w:type="pct"/>
            <w:tcBorders>
              <w:top w:val="single" w:color="auto" w:sz="4" w:space="0"/>
              <w:left w:val="single" w:color="auto" w:sz="4" w:space="0"/>
              <w:bottom w:val="single" w:color="auto" w:sz="4" w:space="0"/>
              <w:right w:val="single" w:color="auto" w:sz="4" w:space="0"/>
            </w:tcBorders>
            <w:vAlign w:val="center"/>
          </w:tcPr>
          <w:p w14:paraId="4629F1A7">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113" w:type="pct"/>
            <w:tcBorders>
              <w:top w:val="single" w:color="auto" w:sz="4" w:space="0"/>
              <w:left w:val="single" w:color="auto" w:sz="4" w:space="0"/>
              <w:bottom w:val="single" w:color="auto" w:sz="4" w:space="0"/>
              <w:right w:val="single" w:color="auto" w:sz="4" w:space="0"/>
            </w:tcBorders>
            <w:vAlign w:val="center"/>
          </w:tcPr>
          <w:p w14:paraId="4338EBB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14:paraId="4177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98" w:type="pct"/>
            <w:tcBorders>
              <w:top w:val="single" w:color="auto" w:sz="4" w:space="0"/>
              <w:left w:val="single" w:color="auto" w:sz="4" w:space="0"/>
              <w:bottom w:val="single" w:color="auto" w:sz="4" w:space="0"/>
              <w:right w:val="single" w:color="auto" w:sz="4" w:space="0"/>
            </w:tcBorders>
            <w:vAlign w:val="center"/>
          </w:tcPr>
          <w:p w14:paraId="2DF90C89">
            <w:pPr>
              <w:jc w:val="center"/>
              <w:rPr>
                <w:rFonts w:hint="default" w:ascii="Times New Roman" w:hAnsi="Times New Roman"/>
                <w:color w:val="auto"/>
                <w:sz w:val="24"/>
                <w:szCs w:val="24"/>
                <w:lang w:val="en-US" w:eastAsia="zh-CN"/>
              </w:rPr>
            </w:pPr>
            <w:r>
              <w:rPr>
                <w:rFonts w:hint="eastAsia" w:ascii="Times New Roman" w:hAnsi="Times New Roman"/>
                <w:color w:val="000000"/>
                <w:sz w:val="24"/>
                <w:szCs w:val="24"/>
                <w:lang w:val="en-US" w:eastAsia="zh-CN"/>
              </w:rPr>
              <w:t>新生儿转运暖箱</w:t>
            </w:r>
          </w:p>
        </w:tc>
        <w:tc>
          <w:tcPr>
            <w:tcW w:w="508" w:type="pct"/>
            <w:tcBorders>
              <w:top w:val="single" w:color="auto" w:sz="4" w:space="0"/>
              <w:left w:val="single" w:color="auto" w:sz="4" w:space="0"/>
              <w:bottom w:val="single" w:color="auto" w:sz="4" w:space="0"/>
              <w:right w:val="single" w:color="auto" w:sz="4" w:space="0"/>
            </w:tcBorders>
            <w:vAlign w:val="center"/>
          </w:tcPr>
          <w:p w14:paraId="1D180855">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510" w:type="pct"/>
            <w:tcBorders>
              <w:top w:val="single" w:color="auto" w:sz="4" w:space="0"/>
              <w:left w:val="single" w:color="auto" w:sz="4" w:space="0"/>
              <w:bottom w:val="single" w:color="auto" w:sz="4" w:space="0"/>
              <w:right w:val="single" w:color="auto" w:sz="4" w:space="0"/>
            </w:tcBorders>
            <w:vAlign w:val="center"/>
          </w:tcPr>
          <w:p w14:paraId="12E48D9B">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168" w:type="pct"/>
            <w:tcBorders>
              <w:top w:val="single" w:color="auto" w:sz="4" w:space="0"/>
              <w:left w:val="single" w:color="auto" w:sz="4" w:space="0"/>
              <w:bottom w:val="single" w:color="auto" w:sz="4" w:space="0"/>
              <w:right w:val="single" w:color="auto" w:sz="4" w:space="0"/>
            </w:tcBorders>
            <w:vAlign w:val="center"/>
          </w:tcPr>
          <w:p w14:paraId="3593A907">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16.00</w:t>
            </w:r>
          </w:p>
        </w:tc>
        <w:tc>
          <w:tcPr>
            <w:tcW w:w="1113" w:type="pct"/>
            <w:tcBorders>
              <w:left w:val="single" w:color="auto" w:sz="4" w:space="0"/>
              <w:right w:val="single" w:color="auto" w:sz="4" w:space="0"/>
            </w:tcBorders>
            <w:vAlign w:val="center"/>
          </w:tcPr>
          <w:p w14:paraId="4EA11E12">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bookmarkStart w:id="51" w:name="_GoBack"/>
      <w:bookmarkEnd w:id="51"/>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6C9750E6">
      <w:pPr>
        <w:autoSpaceDE w:val="0"/>
        <w:autoSpaceDN w:val="0"/>
        <w:adjustRightInd w:val="0"/>
        <w:spacing w:line="360" w:lineRule="auto"/>
        <w:ind w:left="1"/>
        <w:contextualSpacing/>
        <w:rPr>
          <w:rFonts w:hint="eastAsia" w:ascii="Times New Roman" w:hAnsi="Times New Roman"/>
          <w:kern w:val="0"/>
          <w:sz w:val="24"/>
          <w:szCs w:val="24"/>
          <w:lang w:val="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08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19</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695F37B">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08</w:t>
      </w:r>
      <w:r>
        <w:rPr>
          <w:rFonts w:ascii="Times New Roman" w:hAnsi="Times New Roman"/>
          <w:color w:val="auto"/>
          <w:sz w:val="24"/>
          <w:szCs w:val="24"/>
        </w:rPr>
        <w:t>月</w:t>
      </w:r>
      <w:r>
        <w:rPr>
          <w:rFonts w:hint="eastAsia" w:ascii="Times New Roman" w:hAnsi="Times New Roman"/>
          <w:color w:val="auto"/>
          <w:sz w:val="24"/>
          <w:szCs w:val="24"/>
          <w:lang w:val="en-US" w:eastAsia="zh-CN"/>
        </w:rPr>
        <w:t>22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5D33CCC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C306552">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08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657A6635">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lang w:eastAsia="zh-CN"/>
        </w:rPr>
        <w:t>）</w:t>
      </w:r>
    </w:p>
    <w:p w14:paraId="5755B770">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C10592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14:paraId="220A38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1、具有箱温和肤温二种温度控制模式；</w:t>
      </w:r>
    </w:p>
    <w:p w14:paraId="6CD434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2、▲交、直流电源可交互使用，可连接DC12V或DC24V车载电源；</w:t>
      </w:r>
    </w:p>
    <w:p w14:paraId="4B646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3、设置温度、箱内温度、皮肤温度、蓄电池容量分屏显示；</w:t>
      </w:r>
    </w:p>
    <w:p w14:paraId="29146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4、独立的超温保护系统；</w:t>
      </w:r>
    </w:p>
    <w:p w14:paraId="0F57AD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5、产品具有自检功能，至少具备断电、风机、传感器、超温、偏差、低压、系统故障报警提示；</w:t>
      </w:r>
    </w:p>
    <w:p w14:paraId="44B8C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6、具有交流、直流和蓄电池三种供电模式；</w:t>
      </w:r>
    </w:p>
    <w:p w14:paraId="391E66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7、采用进口有机玻璃；双层恒温罩，开有侧门，婴儿床可从侧面拉出；</w:t>
      </w:r>
    </w:p>
    <w:p w14:paraId="4872F1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8、推车具有高度调节、减震、锁定功能；</w:t>
      </w:r>
    </w:p>
    <w:p w14:paraId="3A7DBC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9、▲前面板具有可修正温度功能；肤温传感器具有脱落保护功能；</w:t>
      </w:r>
    </w:p>
    <w:p w14:paraId="746613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10、▲具有正门独立锁定装置,具有供氧装置；具有LED照明灯；</w:t>
      </w:r>
    </w:p>
    <w:p w14:paraId="70B7E7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11、▲产品使用期限≥10年。</w:t>
      </w:r>
    </w:p>
    <w:p w14:paraId="71B79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12、箱温控制范围：18℃～39℃</w:t>
      </w:r>
    </w:p>
    <w:p w14:paraId="428351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13、升温时间：≤30min， </w:t>
      </w:r>
    </w:p>
    <w:p w14:paraId="350E2D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14、平均培养箱温度与控制温度之差：≤±1.5℃  （环境温度为10℃~20℃），≤±1.0℃（环境温度为20℃~30℃）</w:t>
      </w:r>
    </w:p>
    <w:p w14:paraId="66BED1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15、温度均匀性（床垫处于水平位置）：≤1.5℃</w:t>
      </w:r>
    </w:p>
    <w:p w14:paraId="3F58F0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16、皮肤温度传感器精度：±0.2℃内</w:t>
      </w:r>
    </w:p>
    <w:p w14:paraId="21A157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US" w:eastAsia="zh-CN"/>
        </w:rPr>
        <w:t>17、▲婴儿舱内噪声：≤40</w:t>
      </w:r>
      <w:r>
        <w:rPr>
          <w:rFonts w:hint="eastAsia" w:ascii="宋体" w:hAnsi="宋体" w:eastAsia="宋体" w:cs="宋体"/>
          <w:sz w:val="24"/>
          <w:szCs w:val="24"/>
          <w:lang w:val="en-GB" w:eastAsia="zh-CN"/>
        </w:rPr>
        <w:t>dB（A）</w:t>
      </w:r>
    </w:p>
    <w:p w14:paraId="5E0228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18、蓄电池连续工作时间≥90min(1个蓄电池)</w:t>
      </w:r>
    </w:p>
    <w:p w14:paraId="57B8DB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19、▲产品通过CE、TUV、ISO9001、13485质量认证</w:t>
      </w:r>
    </w:p>
    <w:p w14:paraId="2D824C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★20、配置：主机（含婴儿舱、机箱、控制器、输液架）1个，手推车1辆(支持定制)，供氧系统1套。</w:t>
      </w:r>
    </w:p>
    <w:p w14:paraId="0342CD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14:paraId="24BB2E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2.1质保</w:t>
      </w:r>
      <w:r>
        <w:rPr>
          <w:rFonts w:hint="eastAsia" w:ascii="宋体" w:hAnsi="宋体" w:eastAsia="宋体" w:cs="宋体"/>
          <w:sz w:val="24"/>
          <w:szCs w:val="24"/>
        </w:rPr>
        <w:t>期≥</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w:t>
      </w:r>
      <w:bookmarkStart w:id="7" w:name="_Toc520455383"/>
      <w:bookmarkStart w:id="8" w:name="_Toc52036325"/>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62%</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62</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共6条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共13条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eastAsia="宋体" w:cs="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合同一个得0.5分，最多得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5E7A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124C23C">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21E7D65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eastAsia="宋体" w:cs="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05D21E83">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1598FA8">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277C8E8">
            <w:pPr>
              <w:spacing w:line="0" w:lineRule="atLeast"/>
              <w:jc w:val="center"/>
              <w:rPr>
                <w:rFonts w:hint="eastAsia" w:ascii="宋体" w:hAnsi="宋体" w:eastAsia="宋体" w:cs="宋体"/>
                <w:color w:val="auto"/>
                <w:sz w:val="24"/>
                <w:szCs w:val="24"/>
              </w:rPr>
            </w:pP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40447267"/>
      <w:bookmarkStart w:id="11" w:name="_Toc34051805"/>
      <w:bookmarkStart w:id="12" w:name="_Toc52036326"/>
      <w:bookmarkStart w:id="13" w:name="_Toc33709793"/>
      <w:bookmarkStart w:id="14" w:name="_Toc33698132"/>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40447268"/>
      <w:bookmarkStart w:id="16" w:name="_Toc34051806"/>
      <w:bookmarkStart w:id="17" w:name="_Toc52036327"/>
      <w:bookmarkStart w:id="18" w:name="_Toc33698133"/>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33709795"/>
      <w:bookmarkStart w:id="21" w:name="_Toc40447269"/>
      <w:bookmarkStart w:id="22" w:name="_Toc34051807"/>
      <w:bookmarkStart w:id="23" w:name="_Toc52036328"/>
      <w:bookmarkStart w:id="24" w:name="_Toc33698134"/>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33698135"/>
      <w:bookmarkStart w:id="26" w:name="_Toc40447270"/>
      <w:bookmarkStart w:id="27" w:name="_Toc34051808"/>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385992"/>
      <w:bookmarkStart w:id="31" w:name="_Toc307564880"/>
      <w:bookmarkStart w:id="32" w:name="_Toc436410129"/>
      <w:bookmarkStart w:id="33" w:name="_Toc436820890"/>
      <w:bookmarkStart w:id="34" w:name="_Toc43640412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6415"/>
      <w:bookmarkStart w:id="38" w:name="_Toc503987183"/>
      <w:bookmarkStart w:id="39" w:name="_Toc503986971"/>
      <w:bookmarkStart w:id="40" w:name="_Toc503987104"/>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34051809"/>
      <w:bookmarkStart w:id="42" w:name="_Toc40447271"/>
      <w:bookmarkStart w:id="43" w:name="_Toc33698136"/>
      <w:bookmarkStart w:id="44" w:name="_Toc52036330"/>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33698137"/>
      <w:bookmarkStart w:id="47" w:name="_Toc34051810"/>
      <w:bookmarkStart w:id="48" w:name="_Toc33709798"/>
      <w:bookmarkStart w:id="49" w:name="_Toc52036331"/>
      <w:bookmarkStart w:id="50" w:name="_Toc40447272"/>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2"/>
    <w:autoRedefine/>
    <w:qFormat/>
    <w:uiPriority w:val="0"/>
    <w:rPr>
      <w:rFonts w:ascii="Calibri" w:hAnsi="Calibri"/>
      <w:b/>
      <w:bCs/>
      <w:kern w:val="44"/>
      <w:sz w:val="44"/>
      <w:szCs w:val="44"/>
    </w:rPr>
  </w:style>
  <w:style w:type="character" w:customStyle="1" w:styleId="32">
    <w:name w:val="标题 2 Char"/>
    <w:basedOn w:val="25"/>
    <w:link w:val="3"/>
    <w:autoRedefine/>
    <w:qFormat/>
    <w:uiPriority w:val="0"/>
    <w:rPr>
      <w:rFonts w:ascii="Arial" w:hAnsi="Arial" w:eastAsia="黑体"/>
      <w:b/>
      <w:bCs/>
      <w:sz w:val="32"/>
      <w:szCs w:val="32"/>
    </w:rPr>
  </w:style>
  <w:style w:type="character" w:customStyle="1" w:styleId="33">
    <w:name w:val="标题 3 Char"/>
    <w:basedOn w:val="25"/>
    <w:link w:val="4"/>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 w:type="paragraph" w:styleId="78">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7278</Words>
  <Characters>7638</Characters>
  <Lines>102</Lines>
  <Paragraphs>28</Paragraphs>
  <TotalTime>0</TotalTime>
  <ScaleCrop>false</ScaleCrop>
  <LinksUpToDate>false</LinksUpToDate>
  <CharactersWithSpaces>9058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2024-08-15T01:36:51Z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F43260EA7D044F58AE47754BF9C4C356</vt:lpwstr>
  </property>
</Properties>
</file>