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4BF34B39">
      <w:pPr>
        <w:pStyle w:val="8"/>
        <w:rPr>
          <w:rFonts w:hint="eastAsia" w:ascii="宋体" w:hAnsi="宋体" w:eastAsia="宋体" w:cs="宋体"/>
          <w:b/>
          <w:bCs/>
          <w:sz w:val="52"/>
          <w:szCs w:val="52"/>
          <w:lang w:eastAsia="zh-CN"/>
        </w:rPr>
      </w:pPr>
    </w:p>
    <w:p w14:paraId="39984311">
      <w:pPr>
        <w:pStyle w:val="8"/>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4E19B847">
      <w:pPr>
        <w:widowControl/>
        <w:shd w:val="clear" w:color="auto" w:fill="FFFFFF"/>
        <w:snapToGrid w:val="0"/>
        <w:spacing w:line="480" w:lineRule="auto"/>
        <w:ind w:firstLine="522" w:firstLineChars="100"/>
        <w:jc w:val="center"/>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根管测量仪、根管预备</w:t>
      </w:r>
    </w:p>
    <w:p w14:paraId="1B878725">
      <w:pPr>
        <w:widowControl/>
        <w:shd w:val="clear" w:color="auto" w:fill="FFFFFF"/>
        <w:snapToGrid w:val="0"/>
        <w:spacing w:line="480" w:lineRule="auto"/>
        <w:ind w:firstLine="522" w:firstLineChars="100"/>
        <w:jc w:val="center"/>
        <w:rPr>
          <w:rFonts w:hint="eastAsia" w:ascii="宋体" w:hAnsi="宋体" w:eastAsia="宋体" w:cs="宋体"/>
          <w:b/>
          <w:bCs/>
          <w:sz w:val="52"/>
          <w:szCs w:val="52"/>
          <w:u w:val="single"/>
          <w:lang w:eastAsia="zh-CN"/>
        </w:rPr>
      </w:pPr>
      <w:r>
        <w:rPr>
          <w:rFonts w:hint="eastAsia" w:ascii="宋体" w:hAnsi="宋体" w:cs="宋体"/>
          <w:b/>
          <w:bCs/>
          <w:sz w:val="52"/>
          <w:szCs w:val="52"/>
          <w:u w:val="none"/>
          <w:lang w:val="en-US" w:eastAsia="zh-CN"/>
        </w:rPr>
        <w:t xml:space="preserve">          </w:t>
      </w:r>
      <w:r>
        <w:rPr>
          <w:rFonts w:hint="eastAsia" w:ascii="宋体" w:hAnsi="宋体" w:cs="宋体"/>
          <w:b/>
          <w:bCs/>
          <w:sz w:val="52"/>
          <w:szCs w:val="52"/>
          <w:u w:val="single"/>
          <w:lang w:val="en-US" w:eastAsia="zh-CN"/>
        </w:rPr>
        <w:t>机</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项目（第二次）</w:t>
      </w:r>
    </w:p>
    <w:p w14:paraId="38F04FD9">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8"/>
        <w:ind w:left="0" w:leftChars="0" w:firstLine="0" w:firstLineChars="0"/>
        <w:jc w:val="both"/>
        <w:rPr>
          <w:rFonts w:hint="eastAsia" w:ascii="宋体" w:hAnsi="宋体" w:eastAsia="宋体" w:cs="宋体"/>
          <w:b/>
          <w:bCs/>
          <w:sz w:val="52"/>
          <w:szCs w:val="52"/>
          <w:lang w:eastAsia="zh-CN"/>
        </w:rPr>
      </w:pPr>
    </w:p>
    <w:p w14:paraId="2F6F6738">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7"/>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12</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12</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7"/>
        <w:rPr>
          <w:rFonts w:hint="eastAsia" w:ascii="宋体" w:hAnsi="宋体" w:eastAsia="宋体" w:cs="宋体"/>
          <w:b/>
          <w:bCs/>
          <w:sz w:val="30"/>
          <w:szCs w:val="30"/>
        </w:rPr>
      </w:pPr>
    </w:p>
    <w:p w14:paraId="47A63F02">
      <w:pPr>
        <w:pStyle w:val="79"/>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7"/>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19AB072B">
      <w:pPr>
        <w:jc w:val="center"/>
        <w:rPr>
          <w:rFonts w:hint="eastAsia" w:ascii="宋体" w:hAnsi="宋体"/>
          <w:b/>
          <w:sz w:val="44"/>
          <w:szCs w:val="44"/>
        </w:rPr>
      </w:pPr>
    </w:p>
    <w:p w14:paraId="3FEE309D">
      <w:pPr>
        <w:spacing w:line="440" w:lineRule="exact"/>
        <w:jc w:val="center"/>
        <w:rPr>
          <w:rFonts w:hint="eastAsia" w:ascii="Times New Roman" w:hAnsi="Times New Roman"/>
          <w:b/>
          <w:bCs/>
          <w:color w:val="000000" w:themeColor="text1"/>
          <w:sz w:val="32"/>
          <w:szCs w:val="32"/>
          <w14:textFill>
            <w14:solidFill>
              <w14:schemeClr w14:val="tx1"/>
            </w14:solidFill>
          </w14:textFill>
        </w:rPr>
      </w:pPr>
    </w:p>
    <w:p w14:paraId="2295E067">
      <w:pPr>
        <w:spacing w:line="440" w:lineRule="exact"/>
        <w:jc w:val="center"/>
        <w:rPr>
          <w:rFonts w:hint="eastAsia" w:ascii="Times New Roman" w:hAnsi="Times New Roman"/>
          <w:b/>
          <w:bCs/>
          <w:color w:val="000000" w:themeColor="text1"/>
          <w:sz w:val="32"/>
          <w:szCs w:val="32"/>
          <w:lang w:val="en-US" w:eastAsia="zh-CN"/>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根管测量仪、根管预备机</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的采购公告</w:t>
      </w:r>
      <w:r>
        <w:rPr>
          <w:rFonts w:hint="eastAsia" w:ascii="Times New Roman" w:hAnsi="Times New Roman"/>
          <w:b/>
          <w:bCs/>
          <w:color w:val="000000" w:themeColor="text1"/>
          <w:sz w:val="32"/>
          <w:szCs w:val="32"/>
          <w:lang w:eastAsia="zh-CN"/>
          <w14:textFill>
            <w14:solidFill>
              <w14:schemeClr w14:val="tx1"/>
            </w14:solidFill>
          </w14:textFill>
        </w:rPr>
        <w:t>（</w:t>
      </w:r>
      <w:r>
        <w:rPr>
          <w:rFonts w:hint="eastAsia" w:ascii="Times New Roman" w:hAnsi="Times New Roman"/>
          <w:b/>
          <w:bCs/>
          <w:color w:val="000000" w:themeColor="text1"/>
          <w:sz w:val="32"/>
          <w:szCs w:val="32"/>
          <w:lang w:val="en-US" w:eastAsia="zh-CN"/>
          <w14:textFill>
            <w14:solidFill>
              <w14:schemeClr w14:val="tx1"/>
            </w14:solidFill>
          </w14:textFill>
        </w:rPr>
        <w:t>第二次</w:t>
      </w:r>
      <w:r>
        <w:rPr>
          <w:rFonts w:hint="eastAsia" w:ascii="Times New Roman" w:hAnsi="Times New Roman"/>
          <w:b/>
          <w:bCs/>
          <w:color w:val="000000" w:themeColor="text1"/>
          <w:sz w:val="32"/>
          <w:szCs w:val="32"/>
          <w:lang w:eastAsia="zh-CN"/>
          <w14:textFill>
            <w14:solidFill>
              <w14:schemeClr w14:val="tx1"/>
            </w14:solidFill>
          </w14:textFill>
        </w:rPr>
        <w:t>）</w:t>
      </w:r>
    </w:p>
    <w:p w14:paraId="72257227">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根管测量仪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根管测量仪、根管预备机</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7A42F52F">
      <w:pPr>
        <w:numPr>
          <w:numId w:val="0"/>
        </w:numPr>
        <w:spacing w:line="440" w:lineRule="exact"/>
        <w:rPr>
          <w:rFonts w:ascii="Times New Roman" w:hAnsi="Times New Roman"/>
          <w:bCs/>
          <w:sz w:val="24"/>
          <w:szCs w:val="24"/>
        </w:rPr>
      </w:pPr>
      <w:r>
        <w:rPr>
          <w:rFonts w:hint="eastAsia" w:ascii="Times New Roman" w:hAnsi="Times New Roman"/>
          <w:b/>
          <w:bCs w:val="0"/>
          <w:sz w:val="24"/>
          <w:szCs w:val="24"/>
          <w:lang w:val="en-US" w:eastAsia="zh-CN"/>
        </w:rPr>
        <w:t>二、</w:t>
      </w: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3108C35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根管测量仪</w:t>
            </w:r>
          </w:p>
        </w:tc>
        <w:tc>
          <w:tcPr>
            <w:tcW w:w="475"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30"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w:t>
            </w:r>
          </w:p>
        </w:tc>
        <w:tc>
          <w:tcPr>
            <w:tcW w:w="1044"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是</w:t>
            </w:r>
          </w:p>
        </w:tc>
        <w:tc>
          <w:tcPr>
            <w:tcW w:w="549" w:type="pct"/>
            <w:tcBorders>
              <w:left w:val="single" w:color="auto" w:sz="4" w:space="0"/>
              <w:right w:val="single" w:color="auto" w:sz="4" w:space="0"/>
            </w:tcBorders>
            <w:vAlign w:val="center"/>
          </w:tcPr>
          <w:p w14:paraId="1C3D4B39">
            <w:pPr>
              <w:jc w:val="center"/>
              <w:rPr>
                <w:rFonts w:hint="eastAsia" w:ascii="Times New Roman" w:hAnsi="Times New Roman"/>
                <w:color w:val="auto"/>
                <w:sz w:val="24"/>
                <w:szCs w:val="24"/>
                <w:lang w:val="en-US" w:eastAsia="zh-CN"/>
              </w:rPr>
            </w:pP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2CB0F342">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sz w:val="32"/>
          <w:szCs w:val="32"/>
          <w:lang w:val="en-US" w:eastAsia="zh-CN"/>
        </w:rPr>
        <w:t>根管测量仪、根管预备机采购</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根管测量仪</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b w:val="0"/>
          <w:bCs w:val="0"/>
          <w:sz w:val="24"/>
          <w:szCs w:val="24"/>
          <w:lang w:val="en-US" w:eastAsia="zh-CN"/>
        </w:rPr>
        <w:t>根管测量仪、根管预备机</w:t>
      </w:r>
      <w:r>
        <w:rPr>
          <w:rFonts w:hint="eastAsia" w:ascii="Times New Roman" w:hAnsi="Times New Roman"/>
          <w:b w:val="0"/>
          <w:bCs w:val="0"/>
          <w:color w:val="000000"/>
          <w:sz w:val="24"/>
          <w:szCs w:val="24"/>
          <w:lang w:eastAsia="zh-CN"/>
        </w:rPr>
        <w:t>采</w:t>
      </w:r>
      <w:r>
        <w:rPr>
          <w:rFonts w:ascii="Times New Roman" w:hAnsi="Times New Roman"/>
          <w:b w:val="0"/>
          <w:bCs w:val="0"/>
          <w:sz w:val="24"/>
          <w:szCs w:val="24"/>
        </w:rPr>
        <w:t>购项目</w:t>
      </w:r>
      <w:r>
        <w:rPr>
          <w:rFonts w:hint="eastAsia" w:ascii="Times New Roman" w:hAnsi="Times New Roman"/>
          <w:b w:val="0"/>
          <w:bCs w:val="0"/>
          <w:sz w:val="24"/>
          <w:szCs w:val="24"/>
          <w:lang w:eastAsia="zh-CN"/>
        </w:rPr>
        <w:t>（</w:t>
      </w:r>
      <w:r>
        <w:rPr>
          <w:rFonts w:hint="eastAsia" w:ascii="Times New Roman" w:hAnsi="Times New Roman"/>
          <w:b w:val="0"/>
          <w:bCs w:val="0"/>
          <w:sz w:val="24"/>
          <w:szCs w:val="24"/>
          <w:lang w:val="en-US" w:eastAsia="zh-CN"/>
        </w:rPr>
        <w:t>第二次</w:t>
      </w:r>
      <w:r>
        <w:rPr>
          <w:rFonts w:hint="eastAsia" w:ascii="Times New Roman" w:hAnsi="Times New Roman"/>
          <w:b w:val="0"/>
          <w:bCs w:val="0"/>
          <w:sz w:val="24"/>
          <w:szCs w:val="24"/>
          <w:lang w:eastAsia="zh-CN"/>
        </w:rPr>
        <w:t>）</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4"/>
        <w:tblW w:w="4866"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92"/>
        <w:gridCol w:w="788"/>
        <w:gridCol w:w="775"/>
        <w:gridCol w:w="1378"/>
        <w:gridCol w:w="1733"/>
        <w:gridCol w:w="911"/>
      </w:tblGrid>
      <w:tr w14:paraId="5802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2CAD9460">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val="en-US" w:eastAsia="zh-CN"/>
              </w:rPr>
              <w:t>包号</w:t>
            </w:r>
          </w:p>
        </w:tc>
        <w:tc>
          <w:tcPr>
            <w:tcW w:w="1200" w:type="pct"/>
            <w:tcBorders>
              <w:top w:val="single" w:color="auto" w:sz="4" w:space="0"/>
              <w:left w:val="single" w:color="auto" w:sz="4" w:space="0"/>
              <w:bottom w:val="single" w:color="auto" w:sz="4" w:space="0"/>
              <w:right w:val="single" w:color="auto" w:sz="4" w:space="0"/>
            </w:tcBorders>
            <w:vAlign w:val="center"/>
          </w:tcPr>
          <w:p w14:paraId="15910BC3">
            <w:pPr>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b/>
                <w:color w:val="auto"/>
                <w:sz w:val="24"/>
                <w:szCs w:val="24"/>
              </w:rPr>
              <w:t>设备名称</w:t>
            </w:r>
          </w:p>
        </w:tc>
        <w:tc>
          <w:tcPr>
            <w:tcW w:w="475" w:type="pct"/>
            <w:tcBorders>
              <w:top w:val="single" w:color="auto" w:sz="4" w:space="0"/>
              <w:left w:val="single" w:color="auto" w:sz="4" w:space="0"/>
              <w:bottom w:val="single" w:color="auto" w:sz="4" w:space="0"/>
              <w:right w:val="single" w:color="auto" w:sz="4" w:space="0"/>
            </w:tcBorders>
            <w:vAlign w:val="center"/>
          </w:tcPr>
          <w:p w14:paraId="6B9C52FA">
            <w:pPr>
              <w:jc w:val="center"/>
              <w:rPr>
                <w:rFonts w:ascii="Times New Roman" w:hAnsi="Times New Roman"/>
                <w:b/>
                <w:color w:val="auto"/>
                <w:sz w:val="24"/>
                <w:szCs w:val="24"/>
              </w:rPr>
            </w:pPr>
            <w:r>
              <w:rPr>
                <w:rFonts w:hint="eastAsia" w:ascii="Times New Roman" w:hAnsi="Times New Roman"/>
                <w:b/>
                <w:color w:val="auto"/>
                <w:sz w:val="24"/>
                <w:szCs w:val="24"/>
                <w:lang w:eastAsia="zh-CN"/>
              </w:rPr>
              <w:t>单位</w:t>
            </w:r>
          </w:p>
        </w:tc>
        <w:tc>
          <w:tcPr>
            <w:tcW w:w="467" w:type="pct"/>
            <w:tcBorders>
              <w:top w:val="single" w:color="auto" w:sz="4" w:space="0"/>
              <w:left w:val="single" w:color="auto" w:sz="4" w:space="0"/>
              <w:bottom w:val="single" w:color="auto" w:sz="4" w:space="0"/>
              <w:right w:val="single" w:color="auto" w:sz="4" w:space="0"/>
            </w:tcBorders>
            <w:vAlign w:val="center"/>
          </w:tcPr>
          <w:p w14:paraId="0064DF94">
            <w:pPr>
              <w:jc w:val="center"/>
              <w:rPr>
                <w:rFonts w:hint="eastAsia" w:ascii="Times New Roman" w:hAnsi="Times New Roman" w:eastAsia="宋体"/>
                <w:b/>
                <w:color w:val="auto"/>
                <w:sz w:val="24"/>
                <w:szCs w:val="24"/>
                <w:lang w:eastAsia="zh-CN"/>
              </w:rPr>
            </w:pPr>
            <w:r>
              <w:rPr>
                <w:rFonts w:ascii="Times New Roman" w:hAnsi="Times New Roman"/>
                <w:b/>
                <w:color w:val="auto"/>
                <w:sz w:val="24"/>
                <w:szCs w:val="24"/>
              </w:rPr>
              <w:t>数量</w:t>
            </w:r>
          </w:p>
        </w:tc>
        <w:tc>
          <w:tcPr>
            <w:tcW w:w="830" w:type="pct"/>
            <w:tcBorders>
              <w:top w:val="single" w:color="auto" w:sz="4" w:space="0"/>
              <w:left w:val="single" w:color="auto" w:sz="4" w:space="0"/>
              <w:bottom w:val="single" w:color="auto" w:sz="4" w:space="0"/>
              <w:right w:val="single" w:color="auto" w:sz="4" w:space="0"/>
            </w:tcBorders>
            <w:vAlign w:val="center"/>
          </w:tcPr>
          <w:p w14:paraId="42DE131E">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最高限价（</w:t>
            </w:r>
            <w:r>
              <w:rPr>
                <w:rFonts w:hint="eastAsia" w:ascii="Times New Roman" w:hAnsi="Times New Roman"/>
                <w:b/>
                <w:color w:val="auto"/>
                <w:sz w:val="24"/>
                <w:szCs w:val="24"/>
                <w:lang w:val="en-US" w:eastAsia="zh-CN"/>
              </w:rPr>
              <w:t>万元</w:t>
            </w:r>
            <w:r>
              <w:rPr>
                <w:rFonts w:hint="eastAsia" w:ascii="Times New Roman" w:hAnsi="Times New Roman"/>
                <w:b/>
                <w:color w:val="auto"/>
                <w:sz w:val="24"/>
                <w:szCs w:val="24"/>
                <w:lang w:eastAsia="zh-CN"/>
              </w:rPr>
              <w:t>）</w:t>
            </w:r>
          </w:p>
        </w:tc>
        <w:tc>
          <w:tcPr>
            <w:tcW w:w="1044" w:type="pct"/>
            <w:tcBorders>
              <w:top w:val="single" w:color="auto" w:sz="4" w:space="0"/>
              <w:left w:val="single" w:color="auto" w:sz="4" w:space="0"/>
              <w:bottom w:val="single" w:color="auto" w:sz="4" w:space="0"/>
              <w:right w:val="single" w:color="auto" w:sz="4" w:space="0"/>
            </w:tcBorders>
            <w:vAlign w:val="center"/>
          </w:tcPr>
          <w:p w14:paraId="1309D53C">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是否接受进口产品</w:t>
            </w:r>
          </w:p>
        </w:tc>
        <w:tc>
          <w:tcPr>
            <w:tcW w:w="549" w:type="pct"/>
            <w:tcBorders>
              <w:top w:val="single" w:color="auto" w:sz="4" w:space="0"/>
              <w:left w:val="single" w:color="auto" w:sz="4" w:space="0"/>
              <w:bottom w:val="single" w:color="auto" w:sz="4" w:space="0"/>
              <w:right w:val="single" w:color="auto" w:sz="4" w:space="0"/>
            </w:tcBorders>
            <w:vAlign w:val="center"/>
          </w:tcPr>
          <w:p w14:paraId="6767622B">
            <w:pPr>
              <w:jc w:val="center"/>
              <w:rPr>
                <w:rFonts w:hint="default" w:ascii="Times New Roman" w:hAnsi="Times New Roman"/>
                <w:b/>
                <w:color w:val="auto"/>
                <w:sz w:val="24"/>
                <w:szCs w:val="24"/>
                <w:lang w:val="en-US" w:eastAsia="zh-CN"/>
              </w:rPr>
            </w:pPr>
            <w:r>
              <w:rPr>
                <w:rFonts w:hint="eastAsia" w:ascii="Times New Roman" w:hAnsi="Times New Roman"/>
                <w:b/>
                <w:color w:val="auto"/>
                <w:sz w:val="24"/>
                <w:szCs w:val="24"/>
                <w:lang w:val="en-US" w:eastAsia="zh-CN"/>
              </w:rPr>
              <w:t>备注</w:t>
            </w:r>
          </w:p>
        </w:tc>
      </w:tr>
      <w:tr w14:paraId="77B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32" w:type="pct"/>
            <w:tcBorders>
              <w:top w:val="single" w:color="auto" w:sz="4" w:space="0"/>
              <w:left w:val="single" w:color="auto" w:sz="4" w:space="0"/>
              <w:bottom w:val="single" w:color="auto" w:sz="4" w:space="0"/>
              <w:right w:val="single" w:color="auto" w:sz="4" w:space="0"/>
            </w:tcBorders>
            <w:vAlign w:val="center"/>
          </w:tcPr>
          <w:p w14:paraId="7CD1148A">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01</w:t>
            </w:r>
          </w:p>
        </w:tc>
        <w:tc>
          <w:tcPr>
            <w:tcW w:w="1200" w:type="pct"/>
            <w:tcBorders>
              <w:top w:val="single" w:color="auto" w:sz="4" w:space="0"/>
              <w:left w:val="single" w:color="auto" w:sz="4" w:space="0"/>
              <w:bottom w:val="single" w:color="auto" w:sz="4" w:space="0"/>
              <w:right w:val="single" w:color="auto" w:sz="4" w:space="0"/>
            </w:tcBorders>
            <w:vAlign w:val="center"/>
          </w:tcPr>
          <w:p w14:paraId="22EFF12C">
            <w:pPr>
              <w:jc w:val="center"/>
              <w:rPr>
                <w:rFonts w:hint="default" w:ascii="Times New Roman" w:hAnsi="Times New Roman"/>
                <w:color w:val="000000"/>
                <w:sz w:val="24"/>
                <w:szCs w:val="24"/>
                <w:lang w:val="en-US" w:eastAsia="zh-CN"/>
              </w:rPr>
            </w:pPr>
            <w:r>
              <w:rPr>
                <w:rFonts w:hint="eastAsia" w:ascii="Times New Roman" w:hAnsi="Times New Roman"/>
                <w:color w:val="000000"/>
                <w:sz w:val="24"/>
                <w:szCs w:val="24"/>
                <w:lang w:val="en-US" w:eastAsia="zh-CN"/>
              </w:rPr>
              <w:t>根管测量仪</w:t>
            </w:r>
          </w:p>
        </w:tc>
        <w:tc>
          <w:tcPr>
            <w:tcW w:w="475" w:type="pct"/>
            <w:tcBorders>
              <w:top w:val="single" w:color="auto" w:sz="4" w:space="0"/>
              <w:left w:val="single" w:color="auto" w:sz="4" w:space="0"/>
              <w:bottom w:val="single" w:color="auto" w:sz="4" w:space="0"/>
              <w:right w:val="single" w:color="auto" w:sz="4" w:space="0"/>
            </w:tcBorders>
            <w:vAlign w:val="center"/>
          </w:tcPr>
          <w:p w14:paraId="135B30E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467" w:type="pct"/>
            <w:tcBorders>
              <w:top w:val="single" w:color="auto" w:sz="4" w:space="0"/>
              <w:left w:val="single" w:color="auto" w:sz="4" w:space="0"/>
              <w:bottom w:val="single" w:color="auto" w:sz="4" w:space="0"/>
              <w:right w:val="single" w:color="auto" w:sz="4" w:space="0"/>
            </w:tcBorders>
            <w:vAlign w:val="center"/>
          </w:tcPr>
          <w:p w14:paraId="7D2BE822">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w:t>
            </w:r>
          </w:p>
        </w:tc>
        <w:tc>
          <w:tcPr>
            <w:tcW w:w="830" w:type="pct"/>
            <w:tcBorders>
              <w:left w:val="single" w:color="auto" w:sz="4" w:space="0"/>
              <w:right w:val="single" w:color="auto" w:sz="4" w:space="0"/>
            </w:tcBorders>
            <w:vAlign w:val="center"/>
          </w:tcPr>
          <w:p w14:paraId="540AE4D5">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1.6</w:t>
            </w:r>
          </w:p>
        </w:tc>
        <w:tc>
          <w:tcPr>
            <w:tcW w:w="1044" w:type="pct"/>
            <w:tcBorders>
              <w:left w:val="single" w:color="auto" w:sz="4" w:space="0"/>
              <w:right w:val="single" w:color="auto" w:sz="4" w:space="0"/>
            </w:tcBorders>
            <w:vAlign w:val="center"/>
          </w:tcPr>
          <w:p w14:paraId="49DE713D">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是</w:t>
            </w:r>
          </w:p>
        </w:tc>
        <w:tc>
          <w:tcPr>
            <w:tcW w:w="549" w:type="pct"/>
            <w:tcBorders>
              <w:left w:val="single" w:color="auto" w:sz="4" w:space="0"/>
              <w:right w:val="single" w:color="auto" w:sz="4" w:space="0"/>
            </w:tcBorders>
            <w:vAlign w:val="center"/>
          </w:tcPr>
          <w:p w14:paraId="564AF4B6">
            <w:pPr>
              <w:jc w:val="center"/>
              <w:rPr>
                <w:rFonts w:hint="eastAsia" w:ascii="Times New Roman" w:hAnsi="Times New Roman"/>
                <w:color w:val="auto"/>
                <w:sz w:val="24"/>
                <w:szCs w:val="24"/>
                <w:lang w:val="en-US" w:eastAsia="zh-CN"/>
              </w:rPr>
            </w:pP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151BEB8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66A4BA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0E2F8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453759C9">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777358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13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17</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8DA421D">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20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3F7D35E1">
      <w:pPr>
        <w:keepNext w:val="0"/>
        <w:keepLines w:val="0"/>
        <w:pageBreakBefore w:val="0"/>
        <w:widowControl w:val="0"/>
        <w:kinsoku/>
        <w:wordWrap/>
        <w:overflowPunct/>
        <w:topLinePunct w:val="0"/>
        <w:bidi w:val="0"/>
        <w:snapToGrid/>
        <w:spacing w:line="440" w:lineRule="exact"/>
        <w:textAlignment w:val="auto"/>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7920953B">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7F860C39">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p>
    <w:p w14:paraId="0182E66D">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42A3E8EC">
      <w:pPr>
        <w:keepNext w:val="0"/>
        <w:keepLines w:val="0"/>
        <w:pageBreakBefore w:val="0"/>
        <w:widowControl w:val="0"/>
        <w:kinsoku/>
        <w:wordWrap/>
        <w:overflowPunct/>
        <w:topLinePunct w:val="0"/>
        <w:bidi w:val="0"/>
        <w:snapToGrid/>
        <w:spacing w:line="44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443166B7">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24DF0292">
      <w:pPr>
        <w:pStyle w:val="47"/>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0DEC0DD">
      <w:pPr>
        <w:pStyle w:val="47"/>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14:paraId="4CDD99E8">
      <w:pPr>
        <w:pStyle w:val="47"/>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52036323"/>
      <w:bookmarkStart w:id="3" w:name="_Toc418004672"/>
      <w:r>
        <w:rPr>
          <w:sz w:val="24"/>
          <w:szCs w:val="24"/>
        </w:rPr>
        <w:t xml:space="preserve"> </w:t>
      </w:r>
      <w:bookmarkEnd w:id="1"/>
      <w:bookmarkEnd w:id="2"/>
      <w:bookmarkEnd w:id="3"/>
      <w:bookmarkStart w:id="4" w:name="_Toc52036324"/>
    </w:p>
    <w:p w14:paraId="6CD4F4C6">
      <w:pPr>
        <w:rPr>
          <w:sz w:val="24"/>
          <w:szCs w:val="24"/>
        </w:rPr>
      </w:pPr>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4"/>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5" w:name="_Toc233048245"/>
      <w:bookmarkStart w:id="6" w:name="_Toc350964160"/>
    </w:p>
    <w:p w14:paraId="7D2625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bCs/>
          <w:color w:val="000000" w:themeColor="text1"/>
          <w:sz w:val="24"/>
          <w:szCs w:val="24"/>
          <w:lang w:val="en-US" w:eastAsia="zh-CN"/>
          <w14:textFill>
            <w14:solidFill>
              <w14:schemeClr w14:val="tx1"/>
            </w14:solidFill>
          </w14:textFill>
        </w:rPr>
      </w:pPr>
    </w:p>
    <w:p w14:paraId="6EF268A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01包 根管测量仪</w:t>
      </w:r>
    </w:p>
    <w:p w14:paraId="48D5729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 </w:t>
      </w:r>
      <w:r>
        <w:rPr>
          <w:rFonts w:asciiTheme="minorEastAsia" w:hAnsiTheme="minorEastAsia" w:eastAsiaTheme="minorEastAsia"/>
          <w:color w:val="000000"/>
          <w:sz w:val="24"/>
          <w:szCs w:val="24"/>
        </w:rPr>
        <w:t>≥3.5寸彩色</w:t>
      </w:r>
      <w:r>
        <w:rPr>
          <w:rFonts w:hint="eastAsia" w:asciiTheme="minorEastAsia" w:hAnsiTheme="minorEastAsia" w:eastAsiaTheme="minorEastAsia"/>
          <w:color w:val="000000"/>
          <w:sz w:val="24"/>
          <w:szCs w:val="24"/>
        </w:rPr>
        <w:t>触摸</w:t>
      </w:r>
      <w:r>
        <w:rPr>
          <w:rFonts w:asciiTheme="minorEastAsia" w:hAnsiTheme="minorEastAsia" w:eastAsiaTheme="minorEastAsia"/>
          <w:color w:val="000000"/>
          <w:sz w:val="24"/>
          <w:szCs w:val="24"/>
        </w:rPr>
        <w:t>屏</w:t>
      </w:r>
      <w:r>
        <w:rPr>
          <w:rFonts w:hint="eastAsia" w:asciiTheme="minorEastAsia" w:hAnsiTheme="minorEastAsia" w:eastAsiaTheme="minorEastAsia"/>
          <w:color w:val="000000"/>
          <w:sz w:val="24"/>
          <w:szCs w:val="24"/>
          <w:lang w:eastAsia="zh-CN"/>
        </w:rPr>
        <w:t>。</w:t>
      </w:r>
    </w:p>
    <w:p w14:paraId="77997851">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1.2 </w:t>
      </w:r>
      <w:r>
        <w:rPr>
          <w:rFonts w:hint="eastAsia" w:asciiTheme="minorEastAsia" w:hAnsiTheme="minorEastAsia" w:eastAsiaTheme="minorEastAsia"/>
          <w:color w:val="000000"/>
          <w:sz w:val="24"/>
          <w:szCs w:val="24"/>
        </w:rPr>
        <w:t>具有根尖定位线功能，能自定义医生习惯的根尖位置</w:t>
      </w:r>
      <w:r>
        <w:rPr>
          <w:rFonts w:hint="eastAsia" w:asciiTheme="minorEastAsia" w:hAnsiTheme="minorEastAsia" w:eastAsiaTheme="minorEastAsia"/>
          <w:color w:val="000000"/>
          <w:sz w:val="24"/>
          <w:szCs w:val="24"/>
          <w:lang w:eastAsia="zh-CN"/>
        </w:rPr>
        <w:t>。</w:t>
      </w:r>
    </w:p>
    <w:p w14:paraId="366BB485">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1.3 </w:t>
      </w:r>
      <w:r>
        <w:rPr>
          <w:rFonts w:hint="eastAsia" w:asciiTheme="minorEastAsia" w:hAnsiTheme="minorEastAsia" w:eastAsiaTheme="minorEastAsia"/>
          <w:color w:val="000000"/>
          <w:sz w:val="24"/>
          <w:szCs w:val="24"/>
        </w:rPr>
        <w:t>两种图像显示根管区域，根管全长和根尖狭窄区域放大显示</w:t>
      </w:r>
      <w:r>
        <w:rPr>
          <w:rFonts w:hint="eastAsia" w:asciiTheme="minorEastAsia" w:hAnsiTheme="minorEastAsia" w:eastAsiaTheme="minorEastAsia"/>
          <w:color w:val="000000"/>
          <w:sz w:val="24"/>
          <w:szCs w:val="24"/>
          <w:lang w:eastAsia="zh-CN"/>
        </w:rPr>
        <w:t>。</w:t>
      </w:r>
    </w:p>
    <w:p w14:paraId="1EBFE5C1">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1.4 </w:t>
      </w:r>
      <w:r>
        <w:rPr>
          <w:rFonts w:hint="eastAsia" w:asciiTheme="minorEastAsia" w:hAnsiTheme="minorEastAsia" w:eastAsiaTheme="minorEastAsia"/>
          <w:color w:val="000000"/>
          <w:sz w:val="24"/>
          <w:szCs w:val="24"/>
        </w:rPr>
        <w:t>根尖放大区域由≥四种颜色显示，至少具备蓝色、绿色、黄色、红色</w:t>
      </w:r>
      <w:r>
        <w:rPr>
          <w:rFonts w:hint="eastAsia" w:asciiTheme="minorEastAsia" w:hAnsiTheme="minorEastAsia" w:eastAsiaTheme="minorEastAsia"/>
          <w:color w:val="000000"/>
          <w:sz w:val="24"/>
          <w:szCs w:val="24"/>
          <w:lang w:eastAsia="zh-CN"/>
        </w:rPr>
        <w:t>。</w:t>
      </w:r>
    </w:p>
    <w:p w14:paraId="4ECF9AEC">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1.5 </w:t>
      </w:r>
      <w:r>
        <w:rPr>
          <w:rFonts w:hint="eastAsia" w:asciiTheme="minorEastAsia" w:hAnsiTheme="minorEastAsia" w:eastAsiaTheme="minorEastAsia"/>
          <w:color w:val="000000"/>
          <w:sz w:val="24"/>
          <w:szCs w:val="24"/>
        </w:rPr>
        <w:t>自带检测模块，医生可检测设备功能</w:t>
      </w:r>
      <w:r>
        <w:rPr>
          <w:rFonts w:hint="eastAsia" w:asciiTheme="minorEastAsia" w:hAnsiTheme="minorEastAsia" w:eastAsiaTheme="minorEastAsia"/>
          <w:color w:val="000000"/>
          <w:sz w:val="24"/>
          <w:szCs w:val="24"/>
          <w:lang w:eastAsia="zh-CN"/>
        </w:rPr>
        <w:t>。</w:t>
      </w:r>
    </w:p>
    <w:p w14:paraId="647154D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1.6 </w:t>
      </w:r>
      <w:r>
        <w:rPr>
          <w:rFonts w:hint="eastAsia" w:asciiTheme="minorEastAsia" w:hAnsiTheme="minorEastAsia" w:eastAsiaTheme="minorEastAsia"/>
          <w:color w:val="000000"/>
          <w:sz w:val="24"/>
          <w:szCs w:val="24"/>
        </w:rPr>
        <w:t>超过 5 分钟未使用机器自动关机</w:t>
      </w:r>
      <w:r>
        <w:rPr>
          <w:rFonts w:hint="eastAsia" w:asciiTheme="minorEastAsia" w:hAnsiTheme="minorEastAsia" w:eastAsiaTheme="minorEastAsia"/>
          <w:color w:val="000000"/>
          <w:sz w:val="24"/>
          <w:szCs w:val="24"/>
          <w:lang w:eastAsia="zh-CN"/>
        </w:rPr>
        <w:t>。</w:t>
      </w:r>
    </w:p>
    <w:p w14:paraId="5150D755">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1.7 </w:t>
      </w:r>
      <w:r>
        <w:rPr>
          <w:rFonts w:hint="eastAsia" w:asciiTheme="minorEastAsia" w:hAnsiTheme="minorEastAsia" w:eastAsiaTheme="minorEastAsia"/>
          <w:color w:val="000000"/>
          <w:sz w:val="24"/>
          <w:szCs w:val="24"/>
        </w:rPr>
        <w:t>设备</w:t>
      </w:r>
      <w:r>
        <w:rPr>
          <w:rFonts w:asciiTheme="minorEastAsia" w:hAnsiTheme="minorEastAsia" w:eastAsiaTheme="minorEastAsia"/>
          <w:color w:val="000000"/>
          <w:sz w:val="24"/>
          <w:szCs w:val="24"/>
        </w:rPr>
        <w:t>显示的有效区域为</w:t>
      </w:r>
      <w:r>
        <w:rPr>
          <w:rFonts w:cs="宋体" w:asciiTheme="minorEastAsia" w:hAnsiTheme="minorEastAsia" w:eastAsiaTheme="minorEastAsia"/>
          <w:sz w:val="24"/>
          <w:szCs w:val="24"/>
        </w:rPr>
        <w:t>≥</w:t>
      </w:r>
      <w:r>
        <w:rPr>
          <w:rFonts w:asciiTheme="minorEastAsia" w:hAnsiTheme="minorEastAsia" w:eastAsiaTheme="minorEastAsia"/>
          <w:color w:val="000000"/>
          <w:sz w:val="24"/>
          <w:szCs w:val="24"/>
        </w:rPr>
        <w:t>70mm×53mm</w:t>
      </w:r>
      <w:r>
        <w:rPr>
          <w:rFonts w:hint="eastAsia" w:asciiTheme="minorEastAsia" w:hAnsiTheme="minorEastAsia" w:eastAsiaTheme="minorEastAsia"/>
          <w:color w:val="000000"/>
          <w:sz w:val="24"/>
          <w:szCs w:val="24"/>
          <w:lang w:eastAsia="zh-CN"/>
        </w:rPr>
        <w:t>。</w:t>
      </w:r>
    </w:p>
    <w:p w14:paraId="0D16A7F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1.8 </w:t>
      </w:r>
      <w:r>
        <w:rPr>
          <w:rFonts w:hint="eastAsia" w:asciiTheme="minorEastAsia" w:hAnsiTheme="minorEastAsia" w:eastAsiaTheme="minorEastAsia"/>
          <w:color w:val="000000"/>
          <w:sz w:val="24"/>
          <w:szCs w:val="24"/>
        </w:rPr>
        <w:t>设备可</w:t>
      </w:r>
      <w:r>
        <w:rPr>
          <w:rFonts w:asciiTheme="minorEastAsia" w:hAnsiTheme="minorEastAsia" w:eastAsiaTheme="minorEastAsia"/>
          <w:color w:val="000000"/>
          <w:sz w:val="24"/>
          <w:szCs w:val="24"/>
        </w:rPr>
        <w:t>折叠</w:t>
      </w:r>
      <w:r>
        <w:rPr>
          <w:rFonts w:hint="eastAsia" w:asciiTheme="minorEastAsia" w:hAnsiTheme="minorEastAsia" w:eastAsiaTheme="minorEastAsia"/>
          <w:color w:val="000000"/>
          <w:sz w:val="24"/>
          <w:szCs w:val="24"/>
        </w:rPr>
        <w:t>放置</w:t>
      </w:r>
      <w:r>
        <w:rPr>
          <w:rFonts w:hint="eastAsia" w:asciiTheme="minorEastAsia" w:hAnsiTheme="minorEastAsia" w:eastAsiaTheme="minorEastAsia"/>
          <w:color w:val="000000"/>
          <w:sz w:val="24"/>
          <w:szCs w:val="24"/>
          <w:lang w:eastAsia="zh-CN"/>
        </w:rPr>
        <w:t>。</w:t>
      </w:r>
    </w:p>
    <w:p w14:paraId="41635FE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1.9 </w:t>
      </w:r>
      <w:r>
        <w:rPr>
          <w:rFonts w:hint="eastAsia" w:asciiTheme="minorEastAsia" w:hAnsiTheme="minorEastAsia" w:eastAsiaTheme="minorEastAsia"/>
          <w:color w:val="000000"/>
          <w:sz w:val="24"/>
          <w:szCs w:val="24"/>
        </w:rPr>
        <w:t>可升级到最新的程序</w:t>
      </w:r>
      <w:r>
        <w:rPr>
          <w:rFonts w:hint="eastAsia" w:asciiTheme="minorEastAsia" w:hAnsiTheme="minorEastAsia" w:eastAsiaTheme="minorEastAsia"/>
          <w:color w:val="000000"/>
          <w:sz w:val="24"/>
          <w:szCs w:val="24"/>
          <w:lang w:eastAsia="zh-CN"/>
        </w:rPr>
        <w:t>。</w:t>
      </w:r>
    </w:p>
    <w:p w14:paraId="7EA72C04">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1.10 </w:t>
      </w:r>
      <w:r>
        <w:rPr>
          <w:rFonts w:hint="eastAsia" w:asciiTheme="minorEastAsia" w:hAnsiTheme="minorEastAsia" w:eastAsiaTheme="minorEastAsia"/>
          <w:color w:val="000000"/>
          <w:sz w:val="24"/>
          <w:szCs w:val="24"/>
        </w:rPr>
        <w:t>能调节音量大小，并且有</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两种提示音选择</w:t>
      </w:r>
      <w:r>
        <w:rPr>
          <w:rFonts w:hint="eastAsia" w:asciiTheme="minorEastAsia" w:hAnsiTheme="minorEastAsia" w:eastAsiaTheme="minorEastAsia"/>
          <w:color w:val="000000"/>
          <w:sz w:val="24"/>
          <w:szCs w:val="24"/>
          <w:lang w:eastAsia="zh-CN"/>
        </w:rPr>
        <w:t>。</w:t>
      </w:r>
    </w:p>
    <w:p w14:paraId="68CB9E6E">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1.11 </w:t>
      </w:r>
      <w:r>
        <w:rPr>
          <w:rFonts w:hint="eastAsia" w:asciiTheme="minorEastAsia" w:hAnsiTheme="minorEastAsia" w:eastAsiaTheme="minorEastAsia"/>
          <w:color w:val="000000"/>
          <w:sz w:val="24"/>
          <w:szCs w:val="24"/>
        </w:rPr>
        <w:t>能调节背景和字体颜色</w:t>
      </w:r>
      <w:r>
        <w:rPr>
          <w:rFonts w:hint="eastAsia" w:asciiTheme="minorEastAsia" w:hAnsiTheme="minorEastAsia" w:eastAsiaTheme="minorEastAsia"/>
          <w:color w:val="000000"/>
          <w:sz w:val="24"/>
          <w:szCs w:val="24"/>
          <w:lang w:eastAsia="zh-CN"/>
        </w:rPr>
        <w:t>。</w:t>
      </w:r>
    </w:p>
    <w:p w14:paraId="5607E89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 xml:space="preserve">1.12 </w:t>
      </w:r>
      <w:r>
        <w:rPr>
          <w:rFonts w:hint="eastAsia" w:asciiTheme="minorEastAsia" w:hAnsiTheme="minorEastAsia" w:eastAsiaTheme="minorEastAsia"/>
          <w:color w:val="000000"/>
          <w:sz w:val="24"/>
          <w:szCs w:val="24"/>
        </w:rPr>
        <w:t>机器自带演示模式，可演示锉针在根管内运行情况</w:t>
      </w:r>
      <w:r>
        <w:rPr>
          <w:rFonts w:hint="eastAsia" w:asciiTheme="minorEastAsia" w:hAnsiTheme="minorEastAsia" w:eastAsiaTheme="minorEastAsia"/>
          <w:color w:val="000000"/>
          <w:sz w:val="24"/>
          <w:szCs w:val="24"/>
          <w:lang w:eastAsia="zh-CN"/>
        </w:rPr>
        <w:t>。</w:t>
      </w:r>
    </w:p>
    <w:p w14:paraId="2CAC8FEE">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cs="宋体" w:asciiTheme="minorEastAsia" w:hAnsiTheme="minorEastAsia" w:eastAsiaTheme="minorEastAsia"/>
          <w:sz w:val="24"/>
          <w:szCs w:val="24"/>
          <w:lang w:val="en-US" w:eastAsia="zh-CN"/>
        </w:rPr>
      </w:pPr>
      <w:r>
        <w:rPr>
          <w:rFonts w:hint="eastAsia" w:cs="Times New Roman" w:asciiTheme="minorEastAsia" w:hAnsiTheme="minorEastAsia" w:eastAsiaTheme="minorEastAsia"/>
          <w:color w:val="333333"/>
          <w:kern w:val="0"/>
          <w:sz w:val="24"/>
          <w:szCs w:val="24"/>
        </w:rPr>
        <w:t>★</w:t>
      </w:r>
      <w:r>
        <w:rPr>
          <w:rFonts w:hint="eastAsia" w:cs="Times New Roman" w:asciiTheme="minorEastAsia" w:hAnsiTheme="minorEastAsia" w:eastAsiaTheme="minorEastAsia"/>
          <w:color w:val="333333"/>
          <w:kern w:val="0"/>
          <w:sz w:val="24"/>
          <w:szCs w:val="24"/>
          <w:lang w:val="en-US" w:eastAsia="zh-CN"/>
        </w:rPr>
        <w:t xml:space="preserve">1.13 </w:t>
      </w:r>
      <w:r>
        <w:rPr>
          <w:rFonts w:hint="eastAsia" w:cs="宋体" w:asciiTheme="minorEastAsia" w:hAnsiTheme="minorEastAsia" w:eastAsiaTheme="minorEastAsia"/>
          <w:kern w:val="0"/>
          <w:sz w:val="24"/>
          <w:szCs w:val="24"/>
        </w:rPr>
        <w:t>配置清单：主机1台、测量线1根、锉夹2个、唇挂钩2个、后牙探针1个 、检测模块1个、充电器1个</w:t>
      </w:r>
      <w:r>
        <w:rPr>
          <w:rFonts w:hint="eastAsia" w:cs="宋体" w:asciiTheme="minorEastAsia" w:hAnsiTheme="minorEastAsia" w:eastAsiaTheme="minorEastAsia"/>
          <w:kern w:val="0"/>
          <w:sz w:val="24"/>
        </w:rPr>
        <w:t>、</w:t>
      </w:r>
      <w:r>
        <w:rPr>
          <w:rFonts w:hint="eastAsia" w:cs="宋体" w:asciiTheme="minorEastAsia" w:hAnsiTheme="minorEastAsia" w:eastAsiaTheme="minorEastAsia"/>
          <w:kern w:val="0"/>
          <w:sz w:val="24"/>
          <w:szCs w:val="24"/>
        </w:rPr>
        <w:t>电子版说明书</w:t>
      </w:r>
      <w:r>
        <w:rPr>
          <w:rFonts w:hint="eastAsia" w:cs="宋体" w:asciiTheme="minorEastAsia" w:hAnsiTheme="minorEastAsia" w:eastAsiaTheme="minorEastAsia"/>
          <w:kern w:val="0"/>
          <w:sz w:val="24"/>
        </w:rPr>
        <w:t>1</w:t>
      </w:r>
      <w:r>
        <w:rPr>
          <w:rFonts w:hint="eastAsia" w:cs="宋体" w:asciiTheme="minorEastAsia" w:hAnsiTheme="minorEastAsia" w:eastAsiaTheme="minorEastAsia"/>
          <w:kern w:val="0"/>
          <w:sz w:val="24"/>
          <w:lang w:val="en-US" w:eastAsia="zh-CN"/>
        </w:rPr>
        <w:t>份。</w:t>
      </w:r>
    </w:p>
    <w:p w14:paraId="553B92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96572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346414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4D105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2425E4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7A6F90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2402F5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33EDE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EBF13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5D48AE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11FC18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2C03B2D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864FC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1.签约地点及交货地点</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合同签约地点：三台县人民医院。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配送及安装地址：</w:t>
      </w:r>
      <w:r>
        <w:rPr>
          <w:rFonts w:hint="eastAsia" w:ascii="宋体" w:hAnsi="宋体" w:cs="宋体"/>
          <w:sz w:val="24"/>
          <w:szCs w:val="24"/>
          <w:lang w:val="en-US" w:eastAsia="zh-CN"/>
        </w:rPr>
        <w:t>三台县人民医院指定地点</w:t>
      </w:r>
      <w:r>
        <w:rPr>
          <w:rFonts w:hint="eastAsia" w:ascii="宋体" w:hAnsi="宋体" w:eastAsia="宋体" w:cs="宋体"/>
          <w:sz w:val="24"/>
          <w:szCs w:val="24"/>
          <w:lang w:val="en-US" w:eastAsia="zh-CN"/>
        </w:rPr>
        <w:t>。</w:t>
      </w:r>
    </w:p>
    <w:p w14:paraId="7B82DA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交货期：签订合同后，接到医院通知后30日内。</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2.质保期及售后服务要求</w:t>
      </w:r>
    </w:p>
    <w:p w14:paraId="27BEDBC3">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r>
        <w:rPr>
          <w:rFonts w:hint="eastAsia" w:ascii="宋体" w:hAnsi="宋体" w:cs="宋体"/>
          <w:sz w:val="24"/>
          <w:szCs w:val="24"/>
          <w:lang w:val="en-US" w:eastAsia="zh-CN"/>
        </w:rPr>
        <w:t xml:space="preserve"> 质保期：</w:t>
      </w:r>
      <w:bookmarkStart w:id="7" w:name="_Toc52036325"/>
      <w:bookmarkStart w:id="8" w:name="_Toc520455383"/>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2年</w:t>
      </w:r>
      <w:r>
        <w:rPr>
          <w:rFonts w:hint="eastAsia" w:cs="宋体" w:asciiTheme="minorEastAsia" w:hAnsiTheme="minorEastAsia" w:eastAsiaTheme="minorEastAsia"/>
          <w:sz w:val="24"/>
          <w:szCs w:val="24"/>
          <w:lang w:eastAsia="zh-CN"/>
        </w:rPr>
        <w:t>；</w:t>
      </w:r>
      <w:r>
        <w:rPr>
          <w:rFonts w:hint="eastAsia" w:ascii="宋体" w:hAnsi="宋体" w:eastAsia="宋体" w:cs="宋体"/>
          <w:sz w:val="24"/>
          <w:szCs w:val="24"/>
          <w:lang w:val="en-US" w:eastAsia="zh-CN"/>
        </w:rPr>
        <w:t>在质保期内，所有的配件费、人工费、差旅费、运输费、搬运费等所有费用均由供应商承担。</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在质保期和免费维保期内，接到采购人报修通知后卖方响应时间≤2小时；提出解决方案≤12小时；维修人员到达现场时间≤48小时（不可抗力因素除外）。保修期内对采购人进行不少于1次的回访，了解采购人设备的使用情况，及时解决有关问题。</w:t>
      </w:r>
    </w:p>
    <w:p w14:paraId="07A2D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在设备使用期间，保证国内零配件送达时间不超过7天，进口零配件送达时间不超过20天。如果设备停产，其备件的供应期可达到8年及以上，并以优惠的价格提供该设备所需的维修零配件（在承诺书中标明零配件价格）。</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货到安装验收合格1个月内付合同总价的70% ，验收合格半年后1个月内付合同总价的20% ，验收合格一年后1个月内付合同总价10% 。</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付款方式：转账、电汇等非现金方式。</w:t>
      </w:r>
    </w:p>
    <w:p w14:paraId="7E1C1B5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4.培训：负责设备安装、调试，确保正常运行，且负责操作人员的培训，直至操作人员对操作技术完全掌握为止，费用包含在总报价内。</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5.验收：按照比选文件服务要求、响应文件响应情况和国家、行业标准进行验收。</w:t>
      </w:r>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bookmarkStart w:id="9" w:name="_Toc520455385"/>
      <w:r>
        <w:rPr>
          <w:rFonts w:hint="eastAsia" w:ascii="宋体" w:hAnsi="宋体" w:eastAsia="宋体" w:cs="宋体"/>
          <w:sz w:val="24"/>
          <w:szCs w:val="24"/>
        </w:rPr>
        <w:t>▲</w:t>
      </w:r>
      <w:r>
        <w:rPr>
          <w:rFonts w:hint="eastAsia" w:ascii="宋体" w:hAnsi="宋体" w:eastAsia="宋体" w:cs="宋体"/>
          <w:b/>
          <w:bCs/>
          <w:sz w:val="24"/>
          <w:szCs w:val="24"/>
        </w:rPr>
        <w:t>注：所有的</w:t>
      </w:r>
      <w:r>
        <w:rPr>
          <w:rFonts w:hint="eastAsia" w:ascii="宋体" w:hAnsi="宋体" w:cs="宋体"/>
          <w:b/>
          <w:bCs/>
          <w:sz w:val="24"/>
          <w:szCs w:val="24"/>
          <w:lang w:eastAsia="zh-CN"/>
        </w:rPr>
        <w:t>“</w:t>
      </w:r>
      <w:r>
        <w:rPr>
          <w:rFonts w:hint="eastAsia" w:ascii="宋体" w:hAnsi="宋体" w:eastAsia="宋体" w:cs="宋体"/>
          <w:sz w:val="24"/>
          <w:szCs w:val="24"/>
          <w:lang w:val="en-US" w:eastAsia="zh-CN"/>
        </w:rPr>
        <w:t>★</w:t>
      </w:r>
      <w:r>
        <w:rPr>
          <w:rFonts w:hint="eastAsia" w:ascii="宋体" w:hAnsi="宋体" w:cs="宋体"/>
          <w:b/>
          <w:bCs/>
          <w:sz w:val="24"/>
          <w:szCs w:val="24"/>
          <w:lang w:eastAsia="zh-CN"/>
        </w:rPr>
        <w:t>”</w:t>
      </w:r>
      <w:r>
        <w:rPr>
          <w:rFonts w:hint="eastAsia" w:ascii="宋体" w:hAnsi="宋体" w:cs="宋体"/>
          <w:b/>
          <w:bCs/>
          <w:sz w:val="24"/>
          <w:szCs w:val="24"/>
          <w:lang w:val="en-US" w:eastAsia="zh-CN"/>
        </w:rPr>
        <w:t>号条款</w:t>
      </w:r>
      <w:r>
        <w:rPr>
          <w:rFonts w:hint="eastAsia" w:ascii="宋体" w:hAnsi="宋体" w:cs="宋体"/>
          <w:sz w:val="24"/>
          <w:szCs w:val="24"/>
          <w:lang w:val="en-US" w:eastAsia="zh-CN"/>
        </w:rPr>
        <w:t>、</w:t>
      </w:r>
      <w:r>
        <w:rPr>
          <w:rFonts w:hint="eastAsia" w:ascii="宋体" w:hAnsi="宋体" w:eastAsia="宋体" w:cs="宋体"/>
          <w:b/>
          <w:bCs/>
          <w:sz w:val="24"/>
          <w:szCs w:val="24"/>
        </w:rPr>
        <w:t>商务要求均为实质性要求，负偏离将导致响应文件无效。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bookmarkStart w:id="51" w:name="_GoBack"/>
      <w:bookmarkEnd w:id="51"/>
      <w:r>
        <w:rPr>
          <w:rFonts w:hint="eastAsia" w:ascii="Times New Roman" w:hAnsi="Times New Roman"/>
          <w:b w:val="0"/>
          <w:bCs/>
          <w:color w:val="auto"/>
          <w:kern w:val="0"/>
          <w:sz w:val="24"/>
          <w:szCs w:val="20"/>
          <w:lang w:eastAsia="zh-CN"/>
        </w:rPr>
        <w:t>。</w:t>
      </w:r>
      <w:bookmarkEnd w:id="9"/>
    </w:p>
    <w:bookmarkEnd w:id="7"/>
    <w:bookmarkEnd w:id="8"/>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p w14:paraId="5C0D4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hint="eastAsia" w:ascii="Times New Roman" w:hAnsi="Times New Roman"/>
          <w:b/>
          <w:bCs/>
          <w:color w:val="auto"/>
          <w:kern w:val="0"/>
          <w:sz w:val="24"/>
          <w:szCs w:val="20"/>
          <w:lang w:val="en-US" w:eastAsia="zh-CN"/>
        </w:rPr>
        <w:t>01包  根管测量仪</w:t>
      </w:r>
    </w:p>
    <w:p w14:paraId="183C22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lang w:val="en-US" w:eastAsia="zh-CN"/>
        </w:rPr>
      </w:pP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9AB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411EE57">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15711E26">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3716AD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0E76A055">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77EB0C79">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4A9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4CFA28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A519740">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A36DEF0">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C337433">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5654246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2761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129BCB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616DB42E">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6015C27">
            <w:pPr>
              <w:spacing w:line="0" w:lineRule="atLeast"/>
              <w:jc w:val="center"/>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w:t>
            </w:r>
            <w:r>
              <w:rPr>
                <w:rFonts w:hint="eastAsia" w:ascii="宋体" w:hAnsi="宋体" w:cs="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14:paraId="0FED7DEB">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cs="宋体"/>
                <w:color w:val="000000" w:themeColor="text1"/>
                <w:sz w:val="24"/>
                <w:szCs w:val="24"/>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分；非▲号条款的技术参数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共</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，一条不满足扣</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851165E">
            <w:pPr>
              <w:spacing w:line="0" w:lineRule="atLeast"/>
              <w:jc w:val="center"/>
              <w:rPr>
                <w:rFonts w:hint="eastAsia" w:ascii="宋体" w:hAnsi="宋体" w:eastAsia="宋体" w:cs="宋体"/>
                <w:color w:val="auto"/>
                <w:sz w:val="24"/>
                <w:szCs w:val="24"/>
              </w:rPr>
            </w:pPr>
          </w:p>
        </w:tc>
      </w:tr>
      <w:tr w14:paraId="156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3583F5A">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1657" w:type="dxa"/>
            <w:tcBorders>
              <w:top w:val="single" w:color="auto" w:sz="4" w:space="0"/>
              <w:left w:val="single" w:color="auto" w:sz="4" w:space="0"/>
              <w:bottom w:val="single" w:color="auto" w:sz="4" w:space="0"/>
              <w:right w:val="single" w:color="auto" w:sz="4" w:space="0"/>
            </w:tcBorders>
            <w:vAlign w:val="center"/>
          </w:tcPr>
          <w:p w14:paraId="3274E753">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9DFF845">
            <w:pPr>
              <w:spacing w:line="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14:paraId="09A0A56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一个合同得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0F5589D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类似业绩指：同品牌同型号设备销售业绩。</w:t>
            </w:r>
          </w:p>
          <w:p w14:paraId="321573E1">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r w14:paraId="215E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6F63915F">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1657" w:type="dxa"/>
            <w:tcBorders>
              <w:top w:val="single" w:color="auto" w:sz="4" w:space="0"/>
              <w:left w:val="single" w:color="auto" w:sz="4" w:space="0"/>
              <w:bottom w:val="single" w:color="auto" w:sz="4" w:space="0"/>
              <w:right w:val="single" w:color="auto" w:sz="4" w:space="0"/>
            </w:tcBorders>
            <w:vAlign w:val="center"/>
          </w:tcPr>
          <w:p w14:paraId="0BC76CE7">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售后服务</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w:t>
            </w:r>
          </w:p>
        </w:tc>
        <w:tc>
          <w:tcPr>
            <w:tcW w:w="668" w:type="dxa"/>
            <w:tcBorders>
              <w:top w:val="single" w:color="auto" w:sz="4" w:space="0"/>
              <w:left w:val="single" w:color="auto" w:sz="4" w:space="0"/>
              <w:bottom w:val="single" w:color="auto" w:sz="4" w:space="0"/>
              <w:right w:val="single" w:color="auto" w:sz="4" w:space="0"/>
            </w:tcBorders>
            <w:vAlign w:val="center"/>
          </w:tcPr>
          <w:p w14:paraId="7B634842">
            <w:pPr>
              <w:spacing w:line="0" w:lineRule="atLeast"/>
              <w:jc w:val="center"/>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14:paraId="6D1717C0">
            <w:pPr>
              <w:spacing w:line="0" w:lineRule="atLeast"/>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投标人提供售后服务方案包含：①响应时间、②响应措施、③现场服务支持能力、④应急方案。内容完整并满足项目需求得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分，每缺少一项内容扣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分，每有一项内容存在缺陷的扣</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0DDFAE5">
            <w:pPr>
              <w:spacing w:line="0" w:lineRule="atLeast"/>
              <w:jc w:val="center"/>
              <w:rPr>
                <w:rFonts w:hint="eastAsia" w:ascii="宋体" w:hAnsi="宋体" w:eastAsia="宋体" w:cs="宋体"/>
                <w:color w:val="auto"/>
                <w:sz w:val="24"/>
                <w:szCs w:val="24"/>
              </w:rPr>
            </w:pPr>
          </w:p>
        </w:tc>
      </w:tr>
    </w:tbl>
    <w:p w14:paraId="1995D96A">
      <w:pPr>
        <w:rPr>
          <w:rFonts w:hint="eastAsia" w:ascii="Times New Roman" w:hAnsi="Times New Roman"/>
          <w:b/>
          <w:kern w:val="0"/>
          <w:sz w:val="32"/>
          <w:szCs w:val="20"/>
          <w:lang w:eastAsia="zh-CN"/>
        </w:rPr>
      </w:pPr>
    </w:p>
    <w:p w14:paraId="372B8565">
      <w:pPr>
        <w:rPr>
          <w:rFonts w:hint="eastAsia" w:ascii="Times New Roman" w:hAnsi="Times New Roman"/>
          <w:b/>
          <w:kern w:val="0"/>
          <w:sz w:val="32"/>
          <w:szCs w:val="20"/>
          <w:lang w:eastAsia="zh-CN"/>
        </w:rPr>
      </w:pP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10" w:name="_Toc33698132"/>
      <w:bookmarkStart w:id="11" w:name="_Toc34051805"/>
      <w:bookmarkStart w:id="12" w:name="_Toc40447267"/>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5" w:name="_Toc52036327"/>
      <w:bookmarkStart w:id="16" w:name="_Toc34051806"/>
      <w:bookmarkStart w:id="17" w:name="_Toc33698133"/>
      <w:bookmarkStart w:id="18" w:name="_Toc40447268"/>
      <w:bookmarkStart w:id="19" w:name="_Toc33709794"/>
      <w:r>
        <w:rPr>
          <w:rFonts w:ascii="Times New Roman" w:hAnsi="Times New Roman" w:eastAsia="黑体"/>
          <w:b/>
          <w:kern w:val="0"/>
          <w:sz w:val="32"/>
          <w:szCs w:val="32"/>
        </w:rPr>
        <w:t>二、法定代表人/单位负责人授权书</w:t>
      </w:r>
      <w:bookmarkEnd w:id="15"/>
      <w:bookmarkEnd w:id="16"/>
      <w:bookmarkEnd w:id="17"/>
      <w:bookmarkEnd w:id="18"/>
      <w:bookmarkEnd w:id="19"/>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20" w:name="_Toc33698134"/>
      <w:bookmarkStart w:id="21" w:name="_Toc40447269"/>
      <w:bookmarkStart w:id="22" w:name="_Toc52036328"/>
      <w:bookmarkStart w:id="23" w:name="_Toc33709795"/>
      <w:bookmarkStart w:id="24" w:name="_Toc34051807"/>
      <w:r>
        <w:rPr>
          <w:rFonts w:ascii="Times New Roman" w:hAnsi="Times New Roman" w:eastAsia="黑体"/>
          <w:b/>
          <w:kern w:val="0"/>
          <w:sz w:val="32"/>
          <w:szCs w:val="32"/>
        </w:rPr>
        <w:t>三、承诺函</w:t>
      </w:r>
      <w:bookmarkEnd w:id="20"/>
      <w:bookmarkEnd w:id="21"/>
      <w:bookmarkEnd w:id="22"/>
      <w:bookmarkEnd w:id="23"/>
      <w:bookmarkEnd w:id="24"/>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5" w:name="_Toc40447270"/>
      <w:bookmarkStart w:id="26" w:name="_Toc33709796"/>
      <w:bookmarkStart w:id="27" w:name="_Toc33698135"/>
      <w:bookmarkStart w:id="28" w:name="_Toc34051808"/>
      <w:bookmarkStart w:id="29" w:name="_Toc52036329"/>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30" w:name="_Toc436820890"/>
      <w:bookmarkStart w:id="31" w:name="_Toc436385992"/>
      <w:bookmarkStart w:id="32" w:name="_Toc307564880"/>
      <w:bookmarkStart w:id="33" w:name="_Toc43640412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838"/>
      <w:bookmarkStart w:id="36" w:name="_Toc503987293"/>
      <w:bookmarkStart w:id="37" w:name="_Toc503987183"/>
      <w:bookmarkStart w:id="38" w:name="_Toc503986971"/>
      <w:bookmarkStart w:id="39" w:name="_Toc503987104"/>
      <w:bookmarkStart w:id="40" w:name="_Toc503986415"/>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41" w:name="_Toc52036330"/>
      <w:bookmarkStart w:id="42" w:name="_Toc40447271"/>
      <w:bookmarkStart w:id="43" w:name="_Toc34051809"/>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6" w:name="_Toc34051810"/>
      <w:bookmarkStart w:id="47" w:name="_Toc33709798"/>
      <w:bookmarkStart w:id="48" w:name="_Toc33698137"/>
      <w:bookmarkStart w:id="49" w:name="_Toc52036331"/>
      <w:bookmarkStart w:id="50" w:name="_Toc40447272"/>
      <w:r>
        <w:rPr>
          <w:rFonts w:ascii="Times New Roman" w:hAnsi="Times New Roman" w:eastAsia="黑体"/>
          <w:b/>
          <w:kern w:val="0"/>
          <w:sz w:val="32"/>
          <w:szCs w:val="32"/>
        </w:rPr>
        <w:t>九、知识产权承诺函</w:t>
      </w:r>
      <w:bookmarkEnd w:id="46"/>
      <w:bookmarkEnd w:id="47"/>
      <w:bookmarkEnd w:id="48"/>
      <w:bookmarkEnd w:id="49"/>
      <w:bookmarkEnd w:id="50"/>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582B7F35">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A7BBFC5">
      <w:pPr>
        <w:rPr>
          <w:rFonts w:ascii="Times New Roman" w:hAnsi="Times New Roman"/>
          <w:sz w:val="24"/>
          <w:szCs w:val="20"/>
        </w:rPr>
      </w:pPr>
    </w:p>
    <w:p w14:paraId="00BF2794">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75DB63A1">
            <w:pPr>
              <w:ind w:left="-105" w:leftChars="-50" w:right="-105" w:rightChars="-50"/>
              <w:jc w:val="center"/>
              <w:rPr>
                <w:rFonts w:ascii="Times New Roman" w:hAnsi="Times New Roman"/>
                <w:b/>
                <w:sz w:val="24"/>
              </w:rPr>
            </w:pPr>
            <w:r>
              <w:rPr>
                <w:rFonts w:hint="eastAsia" w:ascii="Times New Roman" w:hAnsi="Times New Roman"/>
                <w:b/>
                <w:sz w:val="24"/>
              </w:rPr>
              <w:t>产品</w:t>
            </w:r>
          </w:p>
          <w:p w14:paraId="45BB21BD">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5D6E886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3E5CD6B5">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095E3806">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43A79CF5">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EE67CF6">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7BCF1589">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7B41717A">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00A073E1">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52080AF6">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sz w:val="24"/>
              </w:rPr>
            </w:pPr>
          </w:p>
        </w:tc>
        <w:tc>
          <w:tcPr>
            <w:tcW w:w="419" w:type="pct"/>
            <w:vAlign w:val="center"/>
          </w:tcPr>
          <w:p w14:paraId="4E00AB0F">
            <w:pPr>
              <w:spacing w:line="360" w:lineRule="auto"/>
              <w:ind w:left="-105" w:leftChars="-50" w:right="-105" w:rightChars="-50"/>
              <w:jc w:val="center"/>
              <w:rPr>
                <w:rFonts w:ascii="Times New Roman" w:hAnsi="Times New Roman"/>
                <w:sz w:val="24"/>
              </w:rPr>
            </w:pPr>
          </w:p>
        </w:tc>
        <w:tc>
          <w:tcPr>
            <w:tcW w:w="788" w:type="pct"/>
            <w:vAlign w:val="center"/>
          </w:tcPr>
          <w:p w14:paraId="1C6B0A37">
            <w:pPr>
              <w:spacing w:line="360" w:lineRule="auto"/>
              <w:ind w:left="-105" w:leftChars="-50" w:right="-105" w:rightChars="-50"/>
              <w:jc w:val="center"/>
              <w:rPr>
                <w:rFonts w:ascii="Times New Roman" w:hAnsi="Times New Roman"/>
                <w:sz w:val="24"/>
              </w:rPr>
            </w:pPr>
          </w:p>
        </w:tc>
        <w:tc>
          <w:tcPr>
            <w:tcW w:w="394" w:type="pct"/>
            <w:vAlign w:val="center"/>
          </w:tcPr>
          <w:p w14:paraId="5E5ED05D">
            <w:pPr>
              <w:spacing w:line="360" w:lineRule="auto"/>
              <w:ind w:left="-105" w:leftChars="-50" w:right="-105" w:rightChars="-50"/>
              <w:jc w:val="center"/>
              <w:rPr>
                <w:rFonts w:ascii="Times New Roman" w:hAnsi="Times New Roman"/>
                <w:sz w:val="24"/>
              </w:rPr>
            </w:pPr>
          </w:p>
        </w:tc>
        <w:tc>
          <w:tcPr>
            <w:tcW w:w="690" w:type="pct"/>
            <w:vAlign w:val="center"/>
          </w:tcPr>
          <w:p w14:paraId="60B2EC78">
            <w:pPr>
              <w:spacing w:line="360" w:lineRule="auto"/>
              <w:ind w:left="-105" w:leftChars="-50" w:right="-105" w:rightChars="-50"/>
              <w:jc w:val="center"/>
              <w:rPr>
                <w:rFonts w:ascii="Times New Roman" w:hAnsi="Times New Roman"/>
                <w:sz w:val="24"/>
              </w:rPr>
            </w:pPr>
          </w:p>
        </w:tc>
        <w:tc>
          <w:tcPr>
            <w:tcW w:w="690" w:type="pct"/>
            <w:vAlign w:val="center"/>
          </w:tcPr>
          <w:p w14:paraId="3838AD55">
            <w:pPr>
              <w:spacing w:line="360" w:lineRule="auto"/>
              <w:ind w:left="-105" w:leftChars="-50" w:right="-105" w:rightChars="-50"/>
              <w:jc w:val="center"/>
              <w:rPr>
                <w:rFonts w:ascii="Times New Roman" w:hAnsi="Times New Roman"/>
                <w:sz w:val="24"/>
              </w:rPr>
            </w:pPr>
          </w:p>
        </w:tc>
        <w:tc>
          <w:tcPr>
            <w:tcW w:w="655" w:type="pct"/>
            <w:vAlign w:val="center"/>
          </w:tcPr>
          <w:p w14:paraId="3763864E">
            <w:pPr>
              <w:spacing w:line="360" w:lineRule="auto"/>
              <w:ind w:left="-105" w:leftChars="-50" w:right="-105" w:rightChars="-50"/>
              <w:jc w:val="center"/>
              <w:rPr>
                <w:rFonts w:ascii="Times New Roman" w:hAnsi="Times New Roman"/>
                <w:sz w:val="24"/>
              </w:rPr>
            </w:pPr>
          </w:p>
        </w:tc>
        <w:tc>
          <w:tcPr>
            <w:tcW w:w="528" w:type="pct"/>
            <w:vAlign w:val="center"/>
          </w:tcPr>
          <w:p w14:paraId="43E44774">
            <w:pPr>
              <w:spacing w:line="360" w:lineRule="auto"/>
              <w:ind w:left="-105" w:leftChars="-50" w:right="-105" w:rightChars="-50"/>
              <w:jc w:val="center"/>
              <w:rPr>
                <w:rFonts w:ascii="Times New Roman" w:hAnsi="Times New Roman"/>
                <w:sz w:val="24"/>
              </w:rPr>
            </w:pPr>
          </w:p>
        </w:tc>
        <w:tc>
          <w:tcPr>
            <w:tcW w:w="494" w:type="pct"/>
            <w:vAlign w:val="center"/>
          </w:tcPr>
          <w:p w14:paraId="58282E02">
            <w:pPr>
              <w:spacing w:line="360" w:lineRule="auto"/>
              <w:ind w:left="-105" w:leftChars="-50" w:right="-105" w:rightChars="-50"/>
              <w:jc w:val="center"/>
              <w:rPr>
                <w:rFonts w:ascii="Times New Roman" w:hAnsi="Times New Roman"/>
                <w:sz w:val="24"/>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sz w:val="24"/>
              </w:rPr>
            </w:pPr>
          </w:p>
        </w:tc>
        <w:tc>
          <w:tcPr>
            <w:tcW w:w="419" w:type="pct"/>
            <w:vAlign w:val="center"/>
          </w:tcPr>
          <w:p w14:paraId="4E05B24E">
            <w:pPr>
              <w:spacing w:line="360" w:lineRule="auto"/>
              <w:ind w:left="-105" w:leftChars="-50" w:right="-105" w:rightChars="-50"/>
              <w:jc w:val="center"/>
              <w:rPr>
                <w:rFonts w:ascii="Times New Roman" w:hAnsi="Times New Roman"/>
                <w:sz w:val="24"/>
              </w:rPr>
            </w:pPr>
          </w:p>
        </w:tc>
        <w:tc>
          <w:tcPr>
            <w:tcW w:w="788" w:type="pct"/>
            <w:vAlign w:val="center"/>
          </w:tcPr>
          <w:p w14:paraId="2134E77A">
            <w:pPr>
              <w:spacing w:line="360" w:lineRule="auto"/>
              <w:ind w:left="-105" w:leftChars="-50" w:right="-105" w:rightChars="-50"/>
              <w:jc w:val="center"/>
              <w:rPr>
                <w:rFonts w:ascii="Times New Roman" w:hAnsi="Times New Roman"/>
                <w:sz w:val="24"/>
              </w:rPr>
            </w:pPr>
          </w:p>
        </w:tc>
        <w:tc>
          <w:tcPr>
            <w:tcW w:w="394" w:type="pct"/>
            <w:vAlign w:val="center"/>
          </w:tcPr>
          <w:p w14:paraId="2B182762">
            <w:pPr>
              <w:spacing w:line="360" w:lineRule="auto"/>
              <w:ind w:left="-105" w:leftChars="-50" w:right="-105" w:rightChars="-50"/>
              <w:jc w:val="center"/>
              <w:rPr>
                <w:rFonts w:ascii="Times New Roman" w:hAnsi="Times New Roman"/>
                <w:sz w:val="24"/>
              </w:rPr>
            </w:pPr>
          </w:p>
        </w:tc>
        <w:tc>
          <w:tcPr>
            <w:tcW w:w="690" w:type="pct"/>
            <w:vAlign w:val="center"/>
          </w:tcPr>
          <w:p w14:paraId="1CB00D2A">
            <w:pPr>
              <w:spacing w:line="360" w:lineRule="auto"/>
              <w:ind w:left="-105" w:leftChars="-50" w:right="-105" w:rightChars="-50"/>
              <w:jc w:val="center"/>
              <w:rPr>
                <w:rFonts w:ascii="Times New Roman" w:hAnsi="Times New Roman"/>
                <w:sz w:val="24"/>
              </w:rPr>
            </w:pPr>
          </w:p>
        </w:tc>
        <w:tc>
          <w:tcPr>
            <w:tcW w:w="690" w:type="pct"/>
            <w:vAlign w:val="center"/>
          </w:tcPr>
          <w:p w14:paraId="3E6EB094">
            <w:pPr>
              <w:spacing w:line="360" w:lineRule="auto"/>
              <w:ind w:left="-105" w:leftChars="-50" w:right="-105" w:rightChars="-50"/>
              <w:jc w:val="center"/>
              <w:rPr>
                <w:rFonts w:ascii="Times New Roman" w:hAnsi="Times New Roman"/>
                <w:sz w:val="24"/>
              </w:rPr>
            </w:pPr>
          </w:p>
        </w:tc>
        <w:tc>
          <w:tcPr>
            <w:tcW w:w="655" w:type="pct"/>
            <w:vAlign w:val="center"/>
          </w:tcPr>
          <w:p w14:paraId="034171B8">
            <w:pPr>
              <w:spacing w:line="360" w:lineRule="auto"/>
              <w:ind w:left="-105" w:leftChars="-50" w:right="-105" w:rightChars="-50"/>
              <w:jc w:val="center"/>
              <w:rPr>
                <w:rFonts w:ascii="Times New Roman" w:hAnsi="Times New Roman"/>
                <w:sz w:val="24"/>
              </w:rPr>
            </w:pPr>
          </w:p>
        </w:tc>
        <w:tc>
          <w:tcPr>
            <w:tcW w:w="528" w:type="pct"/>
            <w:vAlign w:val="center"/>
          </w:tcPr>
          <w:p w14:paraId="13545CB1">
            <w:pPr>
              <w:spacing w:line="360" w:lineRule="auto"/>
              <w:ind w:left="-105" w:leftChars="-50" w:right="-105" w:rightChars="-50"/>
              <w:jc w:val="center"/>
              <w:rPr>
                <w:rFonts w:ascii="Times New Roman" w:hAnsi="Times New Roman"/>
                <w:sz w:val="24"/>
              </w:rPr>
            </w:pPr>
          </w:p>
        </w:tc>
        <w:tc>
          <w:tcPr>
            <w:tcW w:w="494" w:type="pct"/>
            <w:vAlign w:val="center"/>
          </w:tcPr>
          <w:p w14:paraId="2B8CA6E1">
            <w:pPr>
              <w:spacing w:line="360" w:lineRule="auto"/>
              <w:ind w:left="-105" w:leftChars="-50" w:right="-105" w:rightChars="-50"/>
              <w:jc w:val="center"/>
              <w:rPr>
                <w:rFonts w:ascii="Times New Roman" w:hAnsi="Times New Roman"/>
                <w:sz w:val="24"/>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sz w:val="24"/>
              </w:rPr>
            </w:pPr>
          </w:p>
        </w:tc>
        <w:tc>
          <w:tcPr>
            <w:tcW w:w="419" w:type="pct"/>
            <w:vAlign w:val="center"/>
          </w:tcPr>
          <w:p w14:paraId="200F8AC8">
            <w:pPr>
              <w:spacing w:line="360" w:lineRule="auto"/>
              <w:ind w:left="-105" w:leftChars="-50" w:right="-105" w:rightChars="-50"/>
              <w:jc w:val="center"/>
              <w:rPr>
                <w:rFonts w:ascii="Times New Roman" w:hAnsi="Times New Roman"/>
                <w:sz w:val="24"/>
              </w:rPr>
            </w:pPr>
          </w:p>
        </w:tc>
        <w:tc>
          <w:tcPr>
            <w:tcW w:w="788" w:type="pct"/>
            <w:vAlign w:val="center"/>
          </w:tcPr>
          <w:p w14:paraId="176FA79E">
            <w:pPr>
              <w:spacing w:line="360" w:lineRule="auto"/>
              <w:ind w:left="-105" w:leftChars="-50" w:right="-105" w:rightChars="-50"/>
              <w:jc w:val="center"/>
              <w:rPr>
                <w:rFonts w:ascii="Times New Roman" w:hAnsi="Times New Roman"/>
                <w:sz w:val="24"/>
              </w:rPr>
            </w:pPr>
          </w:p>
        </w:tc>
        <w:tc>
          <w:tcPr>
            <w:tcW w:w="394" w:type="pct"/>
            <w:vAlign w:val="center"/>
          </w:tcPr>
          <w:p w14:paraId="72E61B53">
            <w:pPr>
              <w:spacing w:line="360" w:lineRule="auto"/>
              <w:ind w:left="-105" w:leftChars="-50" w:right="-105" w:rightChars="-50"/>
              <w:jc w:val="center"/>
              <w:rPr>
                <w:rFonts w:ascii="Times New Roman" w:hAnsi="Times New Roman"/>
                <w:sz w:val="24"/>
              </w:rPr>
            </w:pPr>
          </w:p>
        </w:tc>
        <w:tc>
          <w:tcPr>
            <w:tcW w:w="690" w:type="pct"/>
            <w:vAlign w:val="center"/>
          </w:tcPr>
          <w:p w14:paraId="1140F81C">
            <w:pPr>
              <w:spacing w:line="360" w:lineRule="auto"/>
              <w:ind w:left="-105" w:leftChars="-50" w:right="-105" w:rightChars="-50"/>
              <w:jc w:val="center"/>
              <w:rPr>
                <w:rFonts w:ascii="Times New Roman" w:hAnsi="Times New Roman"/>
                <w:sz w:val="24"/>
              </w:rPr>
            </w:pPr>
          </w:p>
        </w:tc>
        <w:tc>
          <w:tcPr>
            <w:tcW w:w="690" w:type="pct"/>
            <w:vAlign w:val="center"/>
          </w:tcPr>
          <w:p w14:paraId="745355B8">
            <w:pPr>
              <w:spacing w:line="360" w:lineRule="auto"/>
              <w:ind w:left="-105" w:leftChars="-50" w:right="-105" w:rightChars="-50"/>
              <w:jc w:val="center"/>
              <w:rPr>
                <w:rFonts w:ascii="Times New Roman" w:hAnsi="Times New Roman"/>
                <w:sz w:val="24"/>
              </w:rPr>
            </w:pPr>
          </w:p>
        </w:tc>
        <w:tc>
          <w:tcPr>
            <w:tcW w:w="655" w:type="pct"/>
            <w:vAlign w:val="center"/>
          </w:tcPr>
          <w:p w14:paraId="5C3648BF">
            <w:pPr>
              <w:spacing w:line="360" w:lineRule="auto"/>
              <w:ind w:left="-105" w:leftChars="-50" w:right="-105" w:rightChars="-50"/>
              <w:jc w:val="center"/>
              <w:rPr>
                <w:rFonts w:ascii="Times New Roman" w:hAnsi="Times New Roman"/>
                <w:sz w:val="24"/>
              </w:rPr>
            </w:pPr>
          </w:p>
        </w:tc>
        <w:tc>
          <w:tcPr>
            <w:tcW w:w="528" w:type="pct"/>
            <w:vAlign w:val="center"/>
          </w:tcPr>
          <w:p w14:paraId="1CD764C2">
            <w:pPr>
              <w:spacing w:line="360" w:lineRule="auto"/>
              <w:ind w:left="-105" w:leftChars="-50" w:right="-105" w:rightChars="-50"/>
              <w:jc w:val="center"/>
              <w:rPr>
                <w:rFonts w:ascii="Times New Roman" w:hAnsi="Times New Roman"/>
                <w:sz w:val="24"/>
              </w:rPr>
            </w:pPr>
          </w:p>
        </w:tc>
        <w:tc>
          <w:tcPr>
            <w:tcW w:w="494" w:type="pct"/>
            <w:vAlign w:val="center"/>
          </w:tcPr>
          <w:p w14:paraId="0FF95F02">
            <w:pPr>
              <w:spacing w:line="360" w:lineRule="auto"/>
              <w:ind w:left="-105" w:leftChars="-50" w:right="-105" w:rightChars="-50"/>
              <w:jc w:val="center"/>
              <w:rPr>
                <w:rFonts w:ascii="Times New Roman" w:hAnsi="Times New Roman"/>
                <w:sz w:val="24"/>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1571BBD8">
      <w:pPr>
        <w:autoSpaceDE w:val="0"/>
        <w:autoSpaceDN w:val="0"/>
        <w:snapToGrid w:val="0"/>
        <w:spacing w:line="440" w:lineRule="exact"/>
        <w:rPr>
          <w:rFonts w:ascii="Times New Roman" w:hAnsi="Times New Roman"/>
          <w:sz w:val="24"/>
        </w:rPr>
      </w:pPr>
    </w:p>
    <w:p w14:paraId="3F3BC373">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33A6B1EE">
      <w:pPr>
        <w:spacing w:line="360" w:lineRule="auto"/>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05218C45">
      <w:pPr>
        <w:spacing w:line="360" w:lineRule="auto"/>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1E20CBE1">
      <w:pPr>
        <w:spacing w:line="360" w:lineRule="auto"/>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17C0E98A">
      <w:pPr>
        <w:spacing w:line="360" w:lineRule="auto"/>
        <w:rPr>
          <w:rFonts w:ascii="Times New Roman" w:hAnsi="Times New Roman"/>
          <w:sz w:val="24"/>
        </w:rPr>
      </w:pPr>
    </w:p>
    <w:p w14:paraId="09AAC0F2">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317A9676">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2B9448F">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7131A1"/>
    <w:rsid w:val="198C1D89"/>
    <w:rsid w:val="1A3F52CC"/>
    <w:rsid w:val="1A571CAA"/>
    <w:rsid w:val="1A5F667C"/>
    <w:rsid w:val="1A857EDA"/>
    <w:rsid w:val="1B266D2D"/>
    <w:rsid w:val="1B4D05AA"/>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BC4191"/>
    <w:rsid w:val="22CA3482"/>
    <w:rsid w:val="22F31C41"/>
    <w:rsid w:val="23502B75"/>
    <w:rsid w:val="23A6613D"/>
    <w:rsid w:val="23EE3640"/>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164E99"/>
    <w:rsid w:val="377F0D27"/>
    <w:rsid w:val="379D03B6"/>
    <w:rsid w:val="37A33759"/>
    <w:rsid w:val="37C16C4A"/>
    <w:rsid w:val="3839273F"/>
    <w:rsid w:val="38413512"/>
    <w:rsid w:val="38FD63A7"/>
    <w:rsid w:val="390B4EA9"/>
    <w:rsid w:val="39202673"/>
    <w:rsid w:val="39316051"/>
    <w:rsid w:val="3A0E0140"/>
    <w:rsid w:val="3A0E6217"/>
    <w:rsid w:val="3A83468A"/>
    <w:rsid w:val="3A8D642D"/>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B66070"/>
    <w:rsid w:val="4DE85C7A"/>
    <w:rsid w:val="4E273FB4"/>
    <w:rsid w:val="4E3E6E2B"/>
    <w:rsid w:val="4E8065F8"/>
    <w:rsid w:val="4E81291C"/>
    <w:rsid w:val="4EF61477"/>
    <w:rsid w:val="4F2204BE"/>
    <w:rsid w:val="4F4127A9"/>
    <w:rsid w:val="4FAD422B"/>
    <w:rsid w:val="4FC7696F"/>
    <w:rsid w:val="50165E6F"/>
    <w:rsid w:val="50277BC9"/>
    <w:rsid w:val="503E2CAF"/>
    <w:rsid w:val="50483F54"/>
    <w:rsid w:val="50513F03"/>
    <w:rsid w:val="50703ED4"/>
    <w:rsid w:val="50812FC2"/>
    <w:rsid w:val="50D15CF8"/>
    <w:rsid w:val="51066F16"/>
    <w:rsid w:val="513F4EEA"/>
    <w:rsid w:val="51AE40DC"/>
    <w:rsid w:val="51E96747"/>
    <w:rsid w:val="520C30FF"/>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8E619A6"/>
    <w:rsid w:val="79660E24"/>
    <w:rsid w:val="796926C2"/>
    <w:rsid w:val="7A1B6C1E"/>
    <w:rsid w:val="7A351B2A"/>
    <w:rsid w:val="7AA02113"/>
    <w:rsid w:val="7AB7598A"/>
    <w:rsid w:val="7B034F6E"/>
    <w:rsid w:val="7B310FBD"/>
    <w:rsid w:val="7B5B4760"/>
    <w:rsid w:val="7BF8252E"/>
    <w:rsid w:val="7C1E59E5"/>
    <w:rsid w:val="7C3F13C0"/>
    <w:rsid w:val="7C754515"/>
    <w:rsid w:val="7D080444"/>
    <w:rsid w:val="7D486E45"/>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4"/>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60"/>
    <w:autoRedefine/>
    <w:qFormat/>
    <w:uiPriority w:val="0"/>
    <w:pPr>
      <w:jc w:val="left"/>
    </w:pPr>
    <w:rPr>
      <w:rFonts w:ascii="Times New Roman" w:hAnsi="Times New Roman"/>
    </w:rPr>
  </w:style>
  <w:style w:type="paragraph" w:styleId="7">
    <w:name w:val="Body Text"/>
    <w:basedOn w:val="1"/>
    <w:next w:val="8"/>
    <w:link w:val="53"/>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next w:val="10"/>
    <w:link w:val="54"/>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0"/>
    <w:autoRedefine/>
    <w:qFormat/>
    <w:uiPriority w:val="0"/>
    <w:rPr>
      <w:rFonts w:ascii="宋体" w:hAnsi="Courier New" w:cs="Courier New"/>
      <w:szCs w:val="21"/>
    </w:rPr>
  </w:style>
  <w:style w:type="paragraph" w:styleId="13">
    <w:name w:val="Date"/>
    <w:basedOn w:val="1"/>
    <w:next w:val="1"/>
    <w:link w:val="59"/>
    <w:autoRedefine/>
    <w:qFormat/>
    <w:uiPriority w:val="0"/>
    <w:pPr>
      <w:ind w:left="100" w:leftChars="2500"/>
    </w:pPr>
    <w:rPr>
      <w:rFonts w:ascii="Times New Roman" w:hAnsi="Times New Roman"/>
    </w:rPr>
  </w:style>
  <w:style w:type="paragraph" w:styleId="14">
    <w:name w:val="Body Text Indent 2"/>
    <w:basedOn w:val="1"/>
    <w:link w:val="58"/>
    <w:autoRedefine/>
    <w:qFormat/>
    <w:uiPriority w:val="0"/>
    <w:pPr>
      <w:spacing w:after="120" w:line="480" w:lineRule="auto"/>
      <w:ind w:left="420" w:leftChars="200"/>
    </w:pPr>
  </w:style>
  <w:style w:type="paragraph" w:styleId="15">
    <w:name w:val="Balloon Text"/>
    <w:basedOn w:val="1"/>
    <w:link w:val="69"/>
    <w:autoRedefine/>
    <w:qFormat/>
    <w:uiPriority w:val="0"/>
    <w:rPr>
      <w:rFonts w:ascii="Times New Roman" w:hAnsi="Times New Roman"/>
      <w:sz w:val="18"/>
      <w:szCs w:val="18"/>
    </w:rPr>
  </w:style>
  <w:style w:type="paragraph" w:styleId="16">
    <w:name w:val="footer"/>
    <w:basedOn w:val="1"/>
    <w:link w:val="68"/>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2"/>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
    <w:next w:val="1"/>
    <w:autoRedefine/>
    <w:qFormat/>
    <w:uiPriority w:val="39"/>
    <w:pPr>
      <w:tabs>
        <w:tab w:val="left" w:pos="510"/>
        <w:tab w:val="right" w:leader="dot" w:pos="8296"/>
      </w:tabs>
      <w:spacing w:line="360" w:lineRule="auto"/>
    </w:pPr>
  </w:style>
  <w:style w:type="paragraph" w:styleId="19">
    <w:name w:val="toc 2"/>
    <w:basedOn w:val="1"/>
    <w:next w:val="1"/>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7"/>
    <w:autoRedefine/>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65"/>
    <w:autoRedefine/>
    <w:qFormat/>
    <w:uiPriority w:val="0"/>
    <w:rPr>
      <w:b/>
      <w:bCs/>
    </w:rPr>
  </w:style>
  <w:style w:type="paragraph" w:styleId="23">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5">
    <w:name w:val="Table Grid"/>
    <w:basedOn w:val="2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autoRedefine/>
    <w:qFormat/>
    <w:uiPriority w:val="0"/>
    <w:rPr>
      <w:b/>
      <w:bCs/>
    </w:rPr>
  </w:style>
  <w:style w:type="character" w:styleId="28">
    <w:name w:val="page number"/>
    <w:basedOn w:val="26"/>
    <w:autoRedefine/>
    <w:qFormat/>
    <w:uiPriority w:val="0"/>
  </w:style>
  <w:style w:type="character" w:styleId="29">
    <w:name w:val="FollowedHyperlink"/>
    <w:basedOn w:val="26"/>
    <w:autoRedefine/>
    <w:qFormat/>
    <w:uiPriority w:val="0"/>
    <w:rPr>
      <w:color w:val="800080" w:themeColor="followedHyperlink"/>
      <w:u w:val="single"/>
      <w14:textFill>
        <w14:solidFill>
          <w14:schemeClr w14:val="folHlink"/>
        </w14:solidFill>
      </w14:textFill>
    </w:rPr>
  </w:style>
  <w:style w:type="character" w:styleId="30">
    <w:name w:val="Hyperlink"/>
    <w:autoRedefine/>
    <w:qFormat/>
    <w:uiPriority w:val="99"/>
    <w:rPr>
      <w:color w:val="0000FF"/>
      <w:u w:val="single"/>
    </w:rPr>
  </w:style>
  <w:style w:type="character" w:styleId="31">
    <w:name w:val="annotation reference"/>
    <w:autoRedefine/>
    <w:qFormat/>
    <w:uiPriority w:val="0"/>
    <w:rPr>
      <w:sz w:val="21"/>
      <w:szCs w:val="21"/>
    </w:rPr>
  </w:style>
  <w:style w:type="character" w:customStyle="1" w:styleId="32">
    <w:name w:val="标题 1 Char"/>
    <w:basedOn w:val="26"/>
    <w:link w:val="2"/>
    <w:autoRedefine/>
    <w:qFormat/>
    <w:uiPriority w:val="0"/>
    <w:rPr>
      <w:rFonts w:ascii="Calibri" w:hAnsi="Calibri"/>
      <w:b/>
      <w:bCs/>
      <w:kern w:val="44"/>
      <w:sz w:val="44"/>
      <w:szCs w:val="44"/>
    </w:rPr>
  </w:style>
  <w:style w:type="character" w:customStyle="1" w:styleId="33">
    <w:name w:val="标题 2 Char"/>
    <w:basedOn w:val="26"/>
    <w:link w:val="3"/>
    <w:autoRedefine/>
    <w:qFormat/>
    <w:uiPriority w:val="0"/>
    <w:rPr>
      <w:rFonts w:ascii="Arial" w:hAnsi="Arial" w:eastAsia="黑体"/>
      <w:b/>
      <w:bCs/>
      <w:sz w:val="32"/>
      <w:szCs w:val="32"/>
    </w:rPr>
  </w:style>
  <w:style w:type="character" w:customStyle="1" w:styleId="34">
    <w:name w:val="标题 3 Char"/>
    <w:basedOn w:val="26"/>
    <w:link w:val="4"/>
    <w:autoRedefine/>
    <w:qFormat/>
    <w:uiPriority w:val="0"/>
    <w:rPr>
      <w:rFonts w:ascii="Calibri" w:hAnsi="Calibri"/>
      <w:b/>
      <w:bCs/>
      <w:kern w:val="2"/>
      <w:sz w:val="32"/>
      <w:szCs w:val="32"/>
    </w:rPr>
  </w:style>
  <w:style w:type="character" w:customStyle="1" w:styleId="35">
    <w:name w:val="批注框文本 Char"/>
    <w:link w:val="15"/>
    <w:autoRedefine/>
    <w:qFormat/>
    <w:uiPriority w:val="0"/>
    <w:rPr>
      <w:kern w:val="2"/>
      <w:sz w:val="18"/>
      <w:szCs w:val="18"/>
    </w:rPr>
  </w:style>
  <w:style w:type="character" w:customStyle="1" w:styleId="36">
    <w:name w:val="纯文本 Char1"/>
    <w:autoRedefine/>
    <w:unhideWhenUsed/>
    <w:qFormat/>
    <w:uiPriority w:val="99"/>
    <w:rPr>
      <w:rFonts w:hint="eastAsia" w:ascii="宋体" w:hAnsi="Tms Rmn" w:eastAsia="宋体"/>
      <w:sz w:val="21"/>
      <w:lang w:val="en-US" w:eastAsia="zh-CN"/>
    </w:rPr>
  </w:style>
  <w:style w:type="character" w:customStyle="1" w:styleId="37">
    <w:name w:val="页眉 Char"/>
    <w:link w:val="17"/>
    <w:autoRedefine/>
    <w:qFormat/>
    <w:uiPriority w:val="0"/>
    <w:rPr>
      <w:kern w:val="2"/>
      <w:sz w:val="18"/>
      <w:szCs w:val="18"/>
    </w:rPr>
  </w:style>
  <w:style w:type="character" w:customStyle="1" w:styleId="38">
    <w:name w:val="正文文本缩进 Char"/>
    <w:link w:val="9"/>
    <w:autoRedefine/>
    <w:qFormat/>
    <w:uiPriority w:val="0"/>
    <w:rPr>
      <w:kern w:val="2"/>
      <w:sz w:val="21"/>
      <w:szCs w:val="24"/>
    </w:rPr>
  </w:style>
  <w:style w:type="character" w:customStyle="1" w:styleId="39">
    <w:name w:val="批注主题 Char"/>
    <w:link w:val="22"/>
    <w:autoRedefine/>
    <w:qFormat/>
    <w:uiPriority w:val="0"/>
    <w:rPr>
      <w:b/>
      <w:bCs/>
      <w:kern w:val="2"/>
      <w:sz w:val="21"/>
      <w:szCs w:val="24"/>
    </w:rPr>
  </w:style>
  <w:style w:type="paragraph" w:customStyle="1" w:styleId="40">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1">
    <w:name w:val="apple-converted-space"/>
    <w:basedOn w:val="26"/>
    <w:autoRedefine/>
    <w:qFormat/>
    <w:uiPriority w:val="0"/>
  </w:style>
  <w:style w:type="character" w:customStyle="1" w:styleId="42">
    <w:name w:val="纯文本 Char"/>
    <w:link w:val="12"/>
    <w:autoRedefine/>
    <w:qFormat/>
    <w:locked/>
    <w:uiPriority w:val="0"/>
    <w:rPr>
      <w:rFonts w:ascii="宋体" w:hAnsi="Courier New" w:cs="Courier New"/>
      <w:kern w:val="2"/>
      <w:sz w:val="21"/>
      <w:szCs w:val="21"/>
    </w:rPr>
  </w:style>
  <w:style w:type="character" w:customStyle="1" w:styleId="43">
    <w:name w:val="日期 Char"/>
    <w:link w:val="13"/>
    <w:autoRedefine/>
    <w:qFormat/>
    <w:uiPriority w:val="0"/>
    <w:rPr>
      <w:kern w:val="2"/>
      <w:sz w:val="21"/>
      <w:szCs w:val="24"/>
    </w:rPr>
  </w:style>
  <w:style w:type="character" w:customStyle="1" w:styleId="44">
    <w:name w:val="正文文本 Char"/>
    <w:link w:val="7"/>
    <w:autoRedefine/>
    <w:qFormat/>
    <w:uiPriority w:val="0"/>
    <w:rPr>
      <w:kern w:val="2"/>
      <w:sz w:val="21"/>
      <w:szCs w:val="24"/>
    </w:rPr>
  </w:style>
  <w:style w:type="character" w:customStyle="1" w:styleId="45">
    <w:name w:val="标题 Char"/>
    <w:link w:val="21"/>
    <w:autoRedefine/>
    <w:qFormat/>
    <w:locked/>
    <w:uiPriority w:val="0"/>
    <w:rPr>
      <w:rFonts w:ascii="Cambria" w:hAnsi="Cambria"/>
      <w:b/>
      <w:bCs/>
      <w:kern w:val="2"/>
      <w:sz w:val="32"/>
      <w:szCs w:val="32"/>
    </w:rPr>
  </w:style>
  <w:style w:type="character" w:customStyle="1" w:styleId="46">
    <w:name w:val="正文首行缩进两字符 Char Char"/>
    <w:link w:val="47"/>
    <w:autoRedefine/>
    <w:qFormat/>
    <w:locked/>
    <w:uiPriority w:val="99"/>
    <w:rPr>
      <w:kern w:val="2"/>
      <w:sz w:val="21"/>
    </w:rPr>
  </w:style>
  <w:style w:type="paragraph" w:customStyle="1" w:styleId="47">
    <w:name w:val="正文首行缩进两字符"/>
    <w:basedOn w:val="1"/>
    <w:link w:val="46"/>
    <w:autoRedefine/>
    <w:qFormat/>
    <w:uiPriority w:val="99"/>
    <w:pPr>
      <w:spacing w:line="360" w:lineRule="auto"/>
      <w:ind w:firstLine="200" w:firstLineChars="200"/>
    </w:pPr>
    <w:rPr>
      <w:rFonts w:ascii="Times New Roman" w:hAnsi="Times New Roman"/>
      <w:szCs w:val="20"/>
    </w:rPr>
  </w:style>
  <w:style w:type="character" w:customStyle="1" w:styleId="48">
    <w:name w:val="批注文字 Char"/>
    <w:link w:val="6"/>
    <w:autoRedefine/>
    <w:qFormat/>
    <w:uiPriority w:val="0"/>
    <w:rPr>
      <w:kern w:val="2"/>
      <w:sz w:val="21"/>
      <w:szCs w:val="24"/>
    </w:rPr>
  </w:style>
  <w:style w:type="character" w:customStyle="1" w:styleId="49">
    <w:name w:val="NormalCharacter"/>
    <w:autoRedefine/>
    <w:qFormat/>
    <w:uiPriority w:val="0"/>
  </w:style>
  <w:style w:type="character" w:customStyle="1" w:styleId="50">
    <w:name w:val="页脚 Char"/>
    <w:link w:val="16"/>
    <w:autoRedefine/>
    <w:qFormat/>
    <w:uiPriority w:val="99"/>
    <w:rPr>
      <w:kern w:val="2"/>
      <w:sz w:val="18"/>
      <w:szCs w:val="18"/>
    </w:rPr>
  </w:style>
  <w:style w:type="paragraph" w:customStyle="1" w:styleId="51">
    <w:name w:val="中等深浅网格 1 - 着色 21"/>
    <w:basedOn w:val="1"/>
    <w:autoRedefine/>
    <w:qFormat/>
    <w:uiPriority w:val="34"/>
    <w:pPr>
      <w:ind w:firstLine="420" w:firstLineChars="200"/>
    </w:pPr>
    <w:rPr>
      <w:sz w:val="20"/>
      <w:szCs w:val="20"/>
    </w:rPr>
  </w:style>
  <w:style w:type="paragraph" w:customStyle="1" w:styleId="52">
    <w:name w:val="图表左对齐"/>
    <w:basedOn w:val="1"/>
    <w:autoRedefine/>
    <w:qFormat/>
    <w:uiPriority w:val="0"/>
    <w:pPr>
      <w:widowControl/>
      <w:spacing w:line="360" w:lineRule="exact"/>
      <w:jc w:val="left"/>
    </w:pPr>
    <w:rPr>
      <w:spacing w:val="-10"/>
      <w:kern w:val="0"/>
      <w:sz w:val="24"/>
      <w:szCs w:val="28"/>
    </w:rPr>
  </w:style>
  <w:style w:type="character" w:customStyle="1" w:styleId="53">
    <w:name w:val="正文文本 Char1"/>
    <w:basedOn w:val="26"/>
    <w:link w:val="7"/>
    <w:autoRedefine/>
    <w:qFormat/>
    <w:uiPriority w:val="0"/>
    <w:rPr>
      <w:rFonts w:ascii="Calibri" w:hAnsi="Calibri"/>
      <w:kern w:val="2"/>
      <w:sz w:val="21"/>
      <w:szCs w:val="24"/>
    </w:rPr>
  </w:style>
  <w:style w:type="character" w:customStyle="1" w:styleId="54">
    <w:name w:val="正文文本缩进 Char1"/>
    <w:basedOn w:val="26"/>
    <w:link w:val="9"/>
    <w:autoRedefine/>
    <w:qFormat/>
    <w:uiPriority w:val="0"/>
    <w:rPr>
      <w:rFonts w:ascii="Calibri" w:hAnsi="Calibri"/>
      <w:kern w:val="2"/>
      <w:sz w:val="21"/>
      <w:szCs w:val="24"/>
    </w:rPr>
  </w:style>
  <w:style w:type="paragraph" w:styleId="55">
    <w:name w:val="List Paragraph"/>
    <w:basedOn w:val="1"/>
    <w:autoRedefine/>
    <w:qFormat/>
    <w:uiPriority w:val="34"/>
    <w:pPr>
      <w:ind w:firstLine="420" w:firstLineChars="200"/>
    </w:pPr>
  </w:style>
  <w:style w:type="paragraph" w:customStyle="1" w:styleId="5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7">
    <w:name w:val="标题 Char1"/>
    <w:basedOn w:val="26"/>
    <w:link w:val="21"/>
    <w:autoRedefine/>
    <w:qFormat/>
    <w:uiPriority w:val="0"/>
    <w:rPr>
      <w:rFonts w:asciiTheme="majorHAnsi" w:hAnsiTheme="majorHAnsi" w:cstheme="majorBidi"/>
      <w:b/>
      <w:bCs/>
      <w:kern w:val="2"/>
      <w:sz w:val="32"/>
      <w:szCs w:val="32"/>
    </w:rPr>
  </w:style>
  <w:style w:type="character" w:customStyle="1" w:styleId="58">
    <w:name w:val="正文文本缩进 2 Char"/>
    <w:basedOn w:val="26"/>
    <w:link w:val="14"/>
    <w:autoRedefine/>
    <w:qFormat/>
    <w:uiPriority w:val="0"/>
    <w:rPr>
      <w:rFonts w:ascii="Calibri" w:hAnsi="Calibri"/>
      <w:kern w:val="2"/>
      <w:sz w:val="21"/>
      <w:szCs w:val="24"/>
    </w:rPr>
  </w:style>
  <w:style w:type="character" w:customStyle="1" w:styleId="59">
    <w:name w:val="日期 Char1"/>
    <w:basedOn w:val="26"/>
    <w:link w:val="13"/>
    <w:autoRedefine/>
    <w:qFormat/>
    <w:uiPriority w:val="0"/>
    <w:rPr>
      <w:rFonts w:ascii="Calibri" w:hAnsi="Calibri"/>
      <w:kern w:val="2"/>
      <w:sz w:val="21"/>
      <w:szCs w:val="24"/>
    </w:rPr>
  </w:style>
  <w:style w:type="character" w:customStyle="1" w:styleId="60">
    <w:name w:val="批注文字 Char1"/>
    <w:basedOn w:val="26"/>
    <w:link w:val="6"/>
    <w:autoRedefine/>
    <w:qFormat/>
    <w:uiPriority w:val="0"/>
    <w:rPr>
      <w:rFonts w:ascii="Calibri" w:hAnsi="Calibri"/>
      <w:kern w:val="2"/>
      <w:sz w:val="21"/>
      <w:szCs w:val="24"/>
    </w:rPr>
  </w:style>
  <w:style w:type="paragraph" w:customStyle="1" w:styleId="61">
    <w:name w:val="样式 首行缩进:  2 字符"/>
    <w:basedOn w:val="1"/>
    <w:autoRedefine/>
    <w:qFormat/>
    <w:uiPriority w:val="0"/>
    <w:pPr>
      <w:spacing w:line="400" w:lineRule="exact"/>
      <w:ind w:firstLine="200" w:firstLineChars="200"/>
    </w:pPr>
    <w:rPr>
      <w:rFonts w:cs="宋体"/>
      <w:sz w:val="24"/>
    </w:rPr>
  </w:style>
  <w:style w:type="paragraph" w:styleId="6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Char1 Char Char Char Char Char Char"/>
    <w:basedOn w:val="1"/>
    <w:autoRedefine/>
    <w:qFormat/>
    <w:uiPriority w:val="0"/>
    <w:rPr>
      <w:rFonts w:ascii="Tahoma" w:hAnsi="Tahoma"/>
      <w:sz w:val="24"/>
      <w:szCs w:val="20"/>
    </w:rPr>
  </w:style>
  <w:style w:type="paragraph" w:customStyle="1" w:styleId="64">
    <w:name w:val="p0"/>
    <w:basedOn w:val="1"/>
    <w:autoRedefine/>
    <w:qFormat/>
    <w:uiPriority w:val="99"/>
    <w:pPr>
      <w:widowControl/>
    </w:pPr>
    <w:rPr>
      <w:kern w:val="0"/>
      <w:szCs w:val="20"/>
    </w:rPr>
  </w:style>
  <w:style w:type="character" w:customStyle="1" w:styleId="65">
    <w:name w:val="批注主题 Char1"/>
    <w:basedOn w:val="60"/>
    <w:link w:val="22"/>
    <w:autoRedefine/>
    <w:qFormat/>
    <w:uiPriority w:val="0"/>
    <w:rPr>
      <w:b/>
      <w:bCs/>
    </w:rPr>
  </w:style>
  <w:style w:type="paragraph" w:customStyle="1" w:styleId="66">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7">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8">
    <w:name w:val="页脚 Char1"/>
    <w:basedOn w:val="26"/>
    <w:link w:val="16"/>
    <w:autoRedefine/>
    <w:qFormat/>
    <w:uiPriority w:val="0"/>
    <w:rPr>
      <w:rFonts w:ascii="Calibri" w:hAnsi="Calibri"/>
      <w:kern w:val="2"/>
      <w:sz w:val="18"/>
      <w:szCs w:val="18"/>
    </w:rPr>
  </w:style>
  <w:style w:type="character" w:customStyle="1" w:styleId="69">
    <w:name w:val="批注框文本 Char1"/>
    <w:basedOn w:val="26"/>
    <w:link w:val="15"/>
    <w:autoRedefine/>
    <w:qFormat/>
    <w:uiPriority w:val="0"/>
    <w:rPr>
      <w:rFonts w:ascii="Calibri" w:hAnsi="Calibri"/>
      <w:kern w:val="2"/>
      <w:sz w:val="18"/>
      <w:szCs w:val="18"/>
    </w:rPr>
  </w:style>
  <w:style w:type="character" w:customStyle="1" w:styleId="70">
    <w:name w:val="纯文本 Char2"/>
    <w:basedOn w:val="26"/>
    <w:link w:val="12"/>
    <w:autoRedefine/>
    <w:qFormat/>
    <w:uiPriority w:val="0"/>
    <w:rPr>
      <w:rFonts w:ascii="宋体" w:hAnsi="Courier New" w:cs="Courier New"/>
      <w:kern w:val="2"/>
      <w:sz w:val="21"/>
      <w:szCs w:val="21"/>
    </w:rPr>
  </w:style>
  <w:style w:type="paragraph" w:customStyle="1" w:styleId="71">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2">
    <w:name w:val="页眉 Char1"/>
    <w:basedOn w:val="26"/>
    <w:link w:val="17"/>
    <w:autoRedefine/>
    <w:qFormat/>
    <w:uiPriority w:val="0"/>
    <w:rPr>
      <w:rFonts w:ascii="Calibri" w:hAnsi="Calibri"/>
      <w:kern w:val="2"/>
      <w:sz w:val="18"/>
      <w:szCs w:val="18"/>
    </w:rPr>
  </w:style>
  <w:style w:type="paragraph" w:customStyle="1" w:styleId="73">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4">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5">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6">
    <w:name w:val="列出段落1"/>
    <w:basedOn w:val="1"/>
    <w:autoRedefine/>
    <w:qFormat/>
    <w:uiPriority w:val="0"/>
    <w:pPr>
      <w:ind w:firstLine="420" w:firstLineChars="200"/>
    </w:pPr>
    <w:rPr>
      <w:rFonts w:ascii="Calibri" w:hAnsi="Calibri"/>
      <w:szCs w:val="22"/>
    </w:rPr>
  </w:style>
  <w:style w:type="paragraph" w:customStyle="1" w:styleId="77">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表格"/>
    <w:basedOn w:val="1"/>
    <w:autoRedefine/>
    <w:qFormat/>
    <w:uiPriority w:val="0"/>
    <w:pPr>
      <w:spacing w:line="400" w:lineRule="exact"/>
    </w:pPr>
    <w:rPr>
      <w:sz w:val="24"/>
    </w:rPr>
  </w:style>
  <w:style w:type="paragraph" w:styleId="7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1751</Words>
  <Characters>1926</Characters>
  <Lines>102</Lines>
  <Paragraphs>28</Paragraphs>
  <TotalTime>33</TotalTime>
  <ScaleCrop>false</ScaleCrop>
  <LinksUpToDate>false</LinksUpToDate>
  <CharactersWithSpaces>1935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2024-12-12T00:28:31Z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F43260EA7D044F58AE47754BF9C4C356</vt:lpwstr>
  </property>
</Properties>
</file>