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22"/>
        <w:rPr>
          <w:rFonts w:hint="eastAsia" w:ascii="宋体" w:hAnsi="宋体" w:eastAsia="宋体" w:cs="宋体"/>
          <w:b/>
          <w:bCs/>
          <w:sz w:val="52"/>
          <w:szCs w:val="52"/>
          <w:lang w:eastAsia="zh-CN"/>
        </w:rPr>
      </w:pPr>
    </w:p>
    <w:p w14:paraId="39984311">
      <w:pPr>
        <w:pStyle w:val="22"/>
        <w:rPr>
          <w:rFonts w:hint="eastAsia" w:ascii="宋体" w:hAnsi="宋体" w:eastAsia="宋体" w:cs="宋体"/>
          <w:b/>
          <w:bCs/>
          <w:sz w:val="52"/>
          <w:szCs w:val="52"/>
          <w:lang w:eastAsia="zh-CN"/>
        </w:rPr>
      </w:pPr>
    </w:p>
    <w:p w14:paraId="403B1EB2">
      <w:pPr>
        <w:widowControl/>
        <w:shd w:val="clear" w:color="auto" w:fill="FFFFFF"/>
        <w:snapToGrid w:val="0"/>
        <w:spacing w:line="480" w:lineRule="auto"/>
        <w:jc w:val="both"/>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院感过程干预APP使用权</w:t>
      </w:r>
    </w:p>
    <w:p w14:paraId="1B878725">
      <w:pPr>
        <w:widowControl/>
        <w:shd w:val="clear" w:color="auto" w:fill="FFFFFF"/>
        <w:snapToGrid w:val="0"/>
        <w:spacing w:line="480" w:lineRule="auto"/>
        <w:ind w:firstLine="2610" w:firstLineChars="500"/>
        <w:jc w:val="both"/>
        <w:rPr>
          <w:rFonts w:hint="eastAsia" w:ascii="宋体" w:hAnsi="宋体" w:eastAsia="宋体" w:cs="宋体"/>
          <w:b/>
          <w:bCs/>
          <w:sz w:val="52"/>
          <w:szCs w:val="52"/>
          <w:u w:val="single"/>
          <w:lang w:val="en-US" w:eastAsia="zh-CN"/>
        </w:rPr>
      </w:pPr>
      <w:r>
        <w:rPr>
          <w:rFonts w:hint="eastAsia" w:ascii="宋体" w:hAnsi="宋体" w:cs="宋体"/>
          <w:b/>
          <w:bCs/>
          <w:sz w:val="52"/>
          <w:szCs w:val="52"/>
          <w:u w:val="single"/>
          <w:lang w:val="en-US" w:eastAsia="zh-CN"/>
        </w:rPr>
        <w:t>采购项目(第二次）</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22"/>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12</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13</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39E2C8CC">
      <w:pPr>
        <w:spacing w:line="440" w:lineRule="exact"/>
        <w:jc w:val="both"/>
        <w:rPr>
          <w:rFonts w:hint="eastAsia" w:ascii="Times New Roman" w:hAnsi="Times New Roman"/>
          <w:b/>
          <w:bCs/>
          <w:color w:val="000000" w:themeColor="text1"/>
          <w:sz w:val="32"/>
          <w:szCs w:val="32"/>
          <w14:textFill>
            <w14:solidFill>
              <w14:schemeClr w14:val="tx1"/>
            </w14:solidFill>
          </w14:textFill>
        </w:rPr>
      </w:pPr>
    </w:p>
    <w:p w14:paraId="4FA29C5F">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院感过程干预APP使用权</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（第二次）</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（第二次）</w:t>
      </w:r>
    </w:p>
    <w:p w14:paraId="33405A5A">
      <w:pPr>
        <w:numPr>
          <w:ilvl w:val="0"/>
          <w:numId w:val="0"/>
        </w:numPr>
        <w:spacing w:line="440" w:lineRule="exact"/>
        <w:rPr>
          <w:rFonts w:hint="eastAsia" w:ascii="Times New Roman" w:hAnsi="Times New Roman"/>
          <w:bCs/>
          <w:sz w:val="24"/>
          <w:szCs w:val="24"/>
          <w:lang w:eastAsia="zh-CN"/>
        </w:rPr>
      </w:pPr>
      <w:r>
        <w:rPr>
          <w:rFonts w:hint="eastAsia" w:ascii="Times New Roman" w:hAnsi="Times New Roman"/>
          <w:b/>
          <w:bCs w:val="0"/>
          <w:sz w:val="24"/>
          <w:szCs w:val="24"/>
          <w:lang w:val="en-US" w:eastAsia="zh-CN"/>
        </w:rPr>
        <w:t>二、</w:t>
      </w: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977"/>
        <w:gridCol w:w="1125"/>
        <w:gridCol w:w="976"/>
        <w:gridCol w:w="2299"/>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tcBorders>
              <w:top w:val="single" w:color="auto" w:sz="4" w:space="0"/>
              <w:left w:val="single" w:color="auto" w:sz="4" w:space="0"/>
              <w:bottom w:val="single" w:color="auto" w:sz="4" w:space="0"/>
              <w:right w:val="single" w:color="auto" w:sz="4" w:space="0"/>
            </w:tcBorders>
            <w:vAlign w:val="center"/>
          </w:tcPr>
          <w:p w14:paraId="0F7E5DB9">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序号</w:t>
            </w:r>
          </w:p>
        </w:tc>
        <w:tc>
          <w:tcPr>
            <w:tcW w:w="2181" w:type="pct"/>
            <w:tcBorders>
              <w:top w:val="single" w:color="auto" w:sz="4" w:space="0"/>
              <w:left w:val="single" w:color="auto" w:sz="4" w:space="0"/>
              <w:bottom w:val="single" w:color="auto" w:sz="4" w:space="0"/>
              <w:right w:val="single" w:color="auto" w:sz="4" w:space="0"/>
            </w:tcBorders>
            <w:vAlign w:val="center"/>
          </w:tcPr>
          <w:p w14:paraId="4B2DBA99">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项目名称</w:t>
            </w:r>
          </w:p>
        </w:tc>
        <w:tc>
          <w:tcPr>
            <w:tcW w:w="617" w:type="pct"/>
            <w:tcBorders>
              <w:top w:val="single" w:color="auto" w:sz="4" w:space="0"/>
              <w:left w:val="single" w:color="auto" w:sz="4" w:space="0"/>
              <w:bottom w:val="single" w:color="auto" w:sz="4" w:space="0"/>
              <w:right w:val="single" w:color="auto" w:sz="4" w:space="0"/>
            </w:tcBorders>
            <w:vAlign w:val="center"/>
          </w:tcPr>
          <w:p w14:paraId="5F5F5CD3">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单位</w:t>
            </w:r>
          </w:p>
        </w:tc>
        <w:tc>
          <w:tcPr>
            <w:tcW w:w="535" w:type="pct"/>
            <w:tcBorders>
              <w:top w:val="single" w:color="auto" w:sz="4" w:space="0"/>
              <w:left w:val="single" w:color="auto" w:sz="4" w:space="0"/>
              <w:bottom w:val="single" w:color="auto" w:sz="4" w:space="0"/>
              <w:right w:val="single" w:color="auto" w:sz="4" w:space="0"/>
            </w:tcBorders>
            <w:vAlign w:val="center"/>
          </w:tcPr>
          <w:p w14:paraId="1C2D829D">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数量</w:t>
            </w:r>
          </w:p>
        </w:tc>
        <w:tc>
          <w:tcPr>
            <w:tcW w:w="1261" w:type="pct"/>
            <w:tcBorders>
              <w:top w:val="single" w:color="auto" w:sz="4" w:space="0"/>
              <w:left w:val="single" w:color="auto" w:sz="4" w:space="0"/>
              <w:bottom w:val="single" w:color="auto" w:sz="4" w:space="0"/>
              <w:right w:val="single" w:color="auto" w:sz="4" w:space="0"/>
            </w:tcBorders>
            <w:vAlign w:val="center"/>
          </w:tcPr>
          <w:p w14:paraId="2B3F3F87">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最高总价（万元）</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3" w:type="pct"/>
            <w:tcBorders>
              <w:top w:val="single" w:color="auto" w:sz="4" w:space="0"/>
              <w:left w:val="single" w:color="auto" w:sz="4" w:space="0"/>
              <w:bottom w:val="single" w:color="auto" w:sz="4" w:space="0"/>
              <w:right w:val="single" w:color="auto" w:sz="4" w:space="0"/>
            </w:tcBorders>
            <w:vAlign w:val="center"/>
          </w:tcPr>
          <w:p w14:paraId="3108C35A">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2181" w:type="pct"/>
            <w:tcBorders>
              <w:top w:val="single" w:color="auto" w:sz="4" w:space="0"/>
              <w:left w:val="single" w:color="auto" w:sz="4" w:space="0"/>
              <w:bottom w:val="single" w:color="auto" w:sz="4" w:space="0"/>
              <w:right w:val="single" w:color="auto" w:sz="4" w:space="0"/>
            </w:tcBorders>
            <w:vAlign w:val="center"/>
          </w:tcPr>
          <w:p w14:paraId="431AD45B">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院感过程干预APP使用权</w:t>
            </w:r>
          </w:p>
        </w:tc>
        <w:tc>
          <w:tcPr>
            <w:tcW w:w="617" w:type="pct"/>
            <w:tcBorders>
              <w:top w:val="single" w:color="auto" w:sz="4" w:space="0"/>
              <w:left w:val="single" w:color="auto" w:sz="4" w:space="0"/>
              <w:bottom w:val="single" w:color="auto" w:sz="4" w:space="0"/>
              <w:right w:val="single" w:color="auto" w:sz="4" w:space="0"/>
            </w:tcBorders>
            <w:vAlign w:val="center"/>
          </w:tcPr>
          <w:p w14:paraId="1F7C74D2">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年</w:t>
            </w:r>
          </w:p>
        </w:tc>
        <w:tc>
          <w:tcPr>
            <w:tcW w:w="535" w:type="pct"/>
            <w:tcBorders>
              <w:top w:val="single" w:color="auto" w:sz="4" w:space="0"/>
              <w:left w:val="single" w:color="auto" w:sz="4" w:space="0"/>
              <w:bottom w:val="single" w:color="auto" w:sz="4" w:space="0"/>
              <w:right w:val="single" w:color="auto" w:sz="4" w:space="0"/>
            </w:tcBorders>
            <w:vAlign w:val="center"/>
          </w:tcPr>
          <w:p w14:paraId="39A993D9">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1261" w:type="pct"/>
            <w:tcBorders>
              <w:left w:val="single" w:color="auto" w:sz="4" w:space="0"/>
              <w:right w:val="single" w:color="auto" w:sz="4" w:space="0"/>
            </w:tcBorders>
            <w:vAlign w:val="center"/>
          </w:tcPr>
          <w:p w14:paraId="4D6C7B20">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1.75</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16</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至202</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18</w:t>
      </w:r>
      <w:r>
        <w:rPr>
          <w:rFonts w:hint="eastAsia" w:ascii="Times New Roman" w:hAnsi="Times New Roman"/>
          <w:color w:val="000000" w:themeColor="text1"/>
          <w:sz w:val="24"/>
          <w:szCs w:val="24"/>
          <w14:textFill>
            <w14:solidFill>
              <w14:schemeClr w14:val="tx1"/>
            </w14:solidFill>
          </w14:textFill>
        </w:rPr>
        <w:t>日</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23</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kern w:val="0"/>
          <w:sz w:val="24"/>
          <w:szCs w:val="24"/>
          <w14:textFill>
            <w14:solidFill>
              <w14:schemeClr w14:val="tx1"/>
            </w14:solidFill>
          </w14:textFill>
        </w:rPr>
        <w:t>1</w:t>
      </w:r>
      <w:r>
        <w:rPr>
          <w:rFonts w:hint="eastAsia" w:ascii="Times New Roman" w:hAnsi="Times New Roman"/>
          <w:color w:val="000000" w:themeColor="text1"/>
          <w:kern w:val="0"/>
          <w:sz w:val="24"/>
          <w:szCs w:val="24"/>
          <w:lang w:val="en-US" w:eastAsia="zh-CN"/>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0</w:t>
      </w:r>
      <w:r>
        <w:rPr>
          <w:rFonts w:ascii="Times New Roman" w:hAnsi="Times New Roman"/>
          <w:color w:val="auto"/>
          <w:kern w:val="0"/>
          <w:sz w:val="24"/>
          <w:szCs w:val="24"/>
        </w:rPr>
        <w:t>（北京时间）。</w:t>
      </w:r>
    </w:p>
    <w:p w14:paraId="5787B07C">
      <w:pPr>
        <w:spacing w:line="440" w:lineRule="exact"/>
        <w:rPr>
          <w:rFonts w:hint="eastAsia" w:ascii="Times New Roman" w:hAnsi="Times New Roman"/>
          <w:b/>
          <w:bCs/>
          <w:color w:val="auto"/>
          <w:sz w:val="24"/>
          <w:szCs w:val="24"/>
          <w:lang w:eastAsia="zh-CN"/>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hint="eastAsia" w:ascii="宋体" w:hAnsi="宋体" w:eastAsia="宋体" w:cs="宋体"/>
          <w:b/>
          <w:bCs/>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sz w:val="24"/>
          <w:szCs w:val="24"/>
          <w:lang w:eastAsia="zh-CN"/>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000000" w:themeColor="text1"/>
          <w:sz w:val="24"/>
          <w:szCs w:val="24"/>
          <w14:textFill>
            <w14:solidFill>
              <w14:schemeClr w14:val="tx1"/>
            </w14:solidFill>
          </w14:textFill>
        </w:rPr>
        <w:t>202</w:t>
      </w:r>
      <w:r>
        <w:rPr>
          <w:rFonts w:hint="eastAsia" w:ascii="Times New Roman" w:hAnsi="Times New Roman"/>
          <w:b w:val="0"/>
          <w:bCs/>
          <w:color w:val="000000" w:themeColor="text1"/>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23</w:t>
      </w:r>
      <w:r>
        <w:rPr>
          <w:rFonts w:ascii="Times New Roman" w:hAnsi="Times New Roman"/>
          <w:b w:val="0"/>
          <w:bCs/>
          <w:color w:val="000000" w:themeColor="text1"/>
          <w:kern w:val="0"/>
          <w:sz w:val="24"/>
          <w:szCs w:val="24"/>
          <w14:textFill>
            <w14:solidFill>
              <w14:schemeClr w14:val="tx1"/>
            </w14:solidFill>
          </w14:textFill>
        </w:rPr>
        <w:t>日1</w:t>
      </w:r>
      <w:r>
        <w:rPr>
          <w:rFonts w:hint="eastAsia" w:ascii="Times New Roman" w:hAnsi="Times New Roman"/>
          <w:b w:val="0"/>
          <w:bCs/>
          <w:color w:val="000000" w:themeColor="text1"/>
          <w:kern w:val="0"/>
          <w:sz w:val="24"/>
          <w:szCs w:val="24"/>
          <w:lang w:val="en-US" w:eastAsia="zh-CN"/>
          <w14:textFill>
            <w14:solidFill>
              <w14:schemeClr w14:val="tx1"/>
            </w14:solidFill>
          </w14:textFill>
        </w:rPr>
        <w:t>5：0</w:t>
      </w:r>
      <w:r>
        <w:rPr>
          <w:rFonts w:ascii="Times New Roman" w:hAnsi="Times New Roman"/>
          <w:b w:val="0"/>
          <w:bCs/>
          <w:color w:val="000000" w:themeColor="text1"/>
          <w:kern w:val="0"/>
          <w:sz w:val="24"/>
          <w:szCs w:val="24"/>
          <w14:textFill>
            <w14:solidFill>
              <w14:schemeClr w14:val="tx1"/>
            </w14:solidFill>
          </w14:textFill>
        </w:rPr>
        <w:t>0（</w:t>
      </w:r>
      <w:r>
        <w:rPr>
          <w:rFonts w:ascii="Times New Roman" w:hAnsi="Times New Roman"/>
          <w:b w:val="0"/>
          <w:bCs/>
          <w:color w:val="auto"/>
          <w:kern w:val="0"/>
          <w:sz w:val="24"/>
          <w:szCs w:val="24"/>
        </w:rPr>
        <w:t>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bookmarkStart w:id="48" w:name="_GoBack"/>
      <w:bookmarkEnd w:id="48"/>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000000" w:themeColor="text1"/>
          <w:kern w:val="0"/>
          <w:sz w:val="24"/>
          <w14:textFill>
            <w14:solidFill>
              <w14:schemeClr w14:val="tx1"/>
            </w14:solidFill>
          </w14:textFill>
        </w:rPr>
      </w:pPr>
      <w:r>
        <w:rPr>
          <w:rFonts w:ascii="Times New Roman" w:hAnsi="Times New Roman"/>
          <w:b w:val="0"/>
          <w:bCs/>
          <w:color w:val="000000" w:themeColor="text1"/>
          <w:kern w:val="0"/>
          <w:sz w:val="24"/>
          <w:szCs w:val="24"/>
          <w14:textFill>
            <w14:solidFill>
              <w14:schemeClr w14:val="tx1"/>
            </w14:solidFill>
          </w14:textFill>
        </w:rPr>
        <w:t>202</w:t>
      </w:r>
      <w:r>
        <w:rPr>
          <w:rFonts w:hint="eastAsia" w:ascii="Times New Roman" w:hAnsi="Times New Roman"/>
          <w:b w:val="0"/>
          <w:bCs/>
          <w:color w:val="000000" w:themeColor="text1"/>
          <w:kern w:val="0"/>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13</w:t>
      </w:r>
      <w:r>
        <w:rPr>
          <w:rFonts w:ascii="Times New Roman" w:hAnsi="Times New Roman"/>
          <w:b w:val="0"/>
          <w:bCs/>
          <w:color w:val="000000" w:themeColor="text1"/>
          <w:kern w:val="0"/>
          <w:sz w:val="24"/>
          <w:szCs w:val="24"/>
          <w14:textFill>
            <w14:solidFill>
              <w14:schemeClr w14:val="tx1"/>
            </w14:solidFill>
          </w14:textFill>
        </w:rPr>
        <w:t>日</w:t>
      </w:r>
    </w:p>
    <w:p w14:paraId="1904ED42">
      <w:pPr>
        <w:rPr>
          <w:rFonts w:hint="eastAsia" w:ascii="Times New Roman" w:hAnsi="Times New Roman"/>
          <w:color w:val="000000" w:themeColor="text1"/>
          <w:sz w:val="36"/>
          <w:szCs w:val="36"/>
          <w14:textFill>
            <w14:solidFill>
              <w14:schemeClr w14:val="tx1"/>
            </w14:solidFill>
          </w14:textFill>
        </w:rPr>
      </w:pPr>
      <w:r>
        <w:rPr>
          <w:rFonts w:hint="eastAsia" w:ascii="Times New Roman" w:hAnsi="Times New Roman"/>
          <w:color w:val="000000" w:themeColor="text1"/>
          <w:sz w:val="36"/>
          <w:szCs w:val="36"/>
          <w14:textFill>
            <w14:solidFill>
              <w14:schemeClr w14:val="tx1"/>
            </w14:solidFill>
          </w14:textFill>
        </w:rPr>
        <w:br w:type="page"/>
      </w:r>
    </w:p>
    <w:p w14:paraId="51C1727A">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院感过程干预APP使用权</w:t>
      </w: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36AC874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（第二次）</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723"/>
        <w:gridCol w:w="959"/>
        <w:gridCol w:w="1141"/>
        <w:gridCol w:w="2554"/>
      </w:tblGrid>
      <w:tr w14:paraId="640B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tcBorders>
              <w:top w:val="single" w:color="auto" w:sz="4" w:space="0"/>
              <w:left w:val="single" w:color="auto" w:sz="4" w:space="0"/>
              <w:bottom w:val="single" w:color="auto" w:sz="4" w:space="0"/>
              <w:right w:val="single" w:color="auto" w:sz="4" w:space="0"/>
            </w:tcBorders>
            <w:vAlign w:val="center"/>
          </w:tcPr>
          <w:p w14:paraId="19BBCE82">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序号</w:t>
            </w:r>
          </w:p>
        </w:tc>
        <w:tc>
          <w:tcPr>
            <w:tcW w:w="2042" w:type="pct"/>
            <w:tcBorders>
              <w:top w:val="single" w:color="auto" w:sz="4" w:space="0"/>
              <w:left w:val="single" w:color="auto" w:sz="4" w:space="0"/>
              <w:bottom w:val="single" w:color="auto" w:sz="4" w:space="0"/>
              <w:right w:val="single" w:color="auto" w:sz="4" w:space="0"/>
            </w:tcBorders>
            <w:vAlign w:val="center"/>
          </w:tcPr>
          <w:p w14:paraId="3E8DF507">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项目名称</w:t>
            </w:r>
          </w:p>
        </w:tc>
        <w:tc>
          <w:tcPr>
            <w:tcW w:w="526" w:type="pct"/>
            <w:tcBorders>
              <w:top w:val="single" w:color="auto" w:sz="4" w:space="0"/>
              <w:left w:val="single" w:color="auto" w:sz="4" w:space="0"/>
              <w:bottom w:val="single" w:color="auto" w:sz="4" w:space="0"/>
              <w:right w:val="single" w:color="auto" w:sz="4" w:space="0"/>
            </w:tcBorders>
            <w:vAlign w:val="center"/>
          </w:tcPr>
          <w:p w14:paraId="35EC47BC">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单位</w:t>
            </w:r>
          </w:p>
        </w:tc>
        <w:tc>
          <w:tcPr>
            <w:tcW w:w="626" w:type="pct"/>
            <w:tcBorders>
              <w:top w:val="single" w:color="auto" w:sz="4" w:space="0"/>
              <w:left w:val="single" w:color="auto" w:sz="4" w:space="0"/>
              <w:bottom w:val="single" w:color="auto" w:sz="4" w:space="0"/>
              <w:right w:val="single" w:color="auto" w:sz="4" w:space="0"/>
            </w:tcBorders>
            <w:vAlign w:val="center"/>
          </w:tcPr>
          <w:p w14:paraId="6F6BAB40">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数量</w:t>
            </w:r>
          </w:p>
        </w:tc>
        <w:tc>
          <w:tcPr>
            <w:tcW w:w="1401" w:type="pct"/>
            <w:tcBorders>
              <w:top w:val="single" w:color="auto" w:sz="4" w:space="0"/>
              <w:left w:val="single" w:color="auto" w:sz="4" w:space="0"/>
              <w:bottom w:val="single" w:color="auto" w:sz="4" w:space="0"/>
              <w:right w:val="single" w:color="auto" w:sz="4" w:space="0"/>
            </w:tcBorders>
            <w:vAlign w:val="center"/>
          </w:tcPr>
          <w:p w14:paraId="574AAE00">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最高总价（万元）</w:t>
            </w:r>
          </w:p>
        </w:tc>
      </w:tr>
      <w:tr w14:paraId="01C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3" w:type="pct"/>
            <w:tcBorders>
              <w:top w:val="single" w:color="auto" w:sz="4" w:space="0"/>
              <w:left w:val="single" w:color="auto" w:sz="4" w:space="0"/>
              <w:bottom w:val="single" w:color="auto" w:sz="4" w:space="0"/>
              <w:right w:val="single" w:color="auto" w:sz="4" w:space="0"/>
            </w:tcBorders>
            <w:vAlign w:val="center"/>
          </w:tcPr>
          <w:p w14:paraId="705ADB6F">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2042" w:type="pct"/>
            <w:tcBorders>
              <w:top w:val="single" w:color="auto" w:sz="4" w:space="0"/>
              <w:left w:val="single" w:color="auto" w:sz="4" w:space="0"/>
              <w:bottom w:val="single" w:color="auto" w:sz="4" w:space="0"/>
              <w:right w:val="single" w:color="auto" w:sz="4" w:space="0"/>
            </w:tcBorders>
            <w:vAlign w:val="center"/>
          </w:tcPr>
          <w:p w14:paraId="2B8AE40A">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院感过程干预APP使用权</w:t>
            </w:r>
          </w:p>
        </w:tc>
        <w:tc>
          <w:tcPr>
            <w:tcW w:w="526" w:type="pct"/>
            <w:tcBorders>
              <w:top w:val="single" w:color="auto" w:sz="4" w:space="0"/>
              <w:left w:val="single" w:color="auto" w:sz="4" w:space="0"/>
              <w:bottom w:val="single" w:color="auto" w:sz="4" w:space="0"/>
              <w:right w:val="single" w:color="auto" w:sz="4" w:space="0"/>
            </w:tcBorders>
            <w:vAlign w:val="center"/>
          </w:tcPr>
          <w:p w14:paraId="3DA0101C">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年</w:t>
            </w:r>
          </w:p>
        </w:tc>
        <w:tc>
          <w:tcPr>
            <w:tcW w:w="626" w:type="pct"/>
            <w:tcBorders>
              <w:top w:val="single" w:color="auto" w:sz="4" w:space="0"/>
              <w:left w:val="single" w:color="auto" w:sz="4" w:space="0"/>
              <w:bottom w:val="single" w:color="auto" w:sz="4" w:space="0"/>
              <w:right w:val="single" w:color="auto" w:sz="4" w:space="0"/>
            </w:tcBorders>
            <w:vAlign w:val="center"/>
          </w:tcPr>
          <w:p w14:paraId="64341D7C">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1401" w:type="pct"/>
            <w:tcBorders>
              <w:left w:val="single" w:color="auto" w:sz="4" w:space="0"/>
              <w:right w:val="single" w:color="auto" w:sz="4" w:space="0"/>
            </w:tcBorders>
            <w:vAlign w:val="center"/>
          </w:tcPr>
          <w:p w14:paraId="7DA38388">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1.75</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2A11216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7DB8177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1B5E307A">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r>
        <w:rPr>
          <w:rFonts w:hint="eastAsia" w:ascii="Times New Roman" w:hAnsi="Times New Roman"/>
          <w:kern w:val="0"/>
          <w:sz w:val="24"/>
          <w:szCs w:val="24"/>
          <w:lang w:val="zh-CN"/>
        </w:rPr>
        <w:t>：</w:t>
      </w:r>
      <w:r>
        <w:rPr>
          <w:rFonts w:ascii="Times New Roman" w:hAnsi="Times New Roman"/>
          <w:kern w:val="0"/>
          <w:sz w:val="24"/>
          <w:szCs w:val="24"/>
          <w:lang w:val="zh-CN"/>
        </w:rPr>
        <w:t>提供营业范围内有效的“统一社会信用代码营业执照”</w:t>
      </w:r>
      <w:r>
        <w:rPr>
          <w:rFonts w:hint="eastAsia" w:ascii="Times New Roman" w:hAnsi="Times New Roman"/>
          <w:kern w:val="0"/>
          <w:sz w:val="24"/>
          <w:szCs w:val="24"/>
          <w:lang w:val="zh-CN"/>
        </w:rPr>
        <w:t>；</w:t>
      </w:r>
    </w:p>
    <w:p w14:paraId="25FB11B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：提供承诺函；</w:t>
      </w:r>
    </w:p>
    <w:p w14:paraId="67739B5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r>
        <w:rPr>
          <w:rFonts w:hint="eastAsia" w:ascii="Times New Roman" w:hAnsi="Times New Roman"/>
          <w:kern w:val="0"/>
          <w:sz w:val="24"/>
          <w:szCs w:val="24"/>
          <w:lang w:val="zh-CN"/>
        </w:rPr>
        <w:t>：提供承诺函；</w:t>
      </w:r>
    </w:p>
    <w:p w14:paraId="6B24B62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r>
        <w:rPr>
          <w:rFonts w:hint="eastAsia" w:ascii="Times New Roman" w:hAnsi="Times New Roman"/>
          <w:kern w:val="0"/>
          <w:sz w:val="24"/>
          <w:szCs w:val="24"/>
          <w:lang w:val="zh-CN"/>
        </w:rPr>
        <w:t>：提供承诺函；</w:t>
      </w:r>
    </w:p>
    <w:p w14:paraId="13F297A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r>
        <w:rPr>
          <w:rFonts w:hint="eastAsia" w:ascii="Times New Roman" w:hAnsi="Times New Roman"/>
          <w:kern w:val="0"/>
          <w:sz w:val="24"/>
          <w:szCs w:val="24"/>
          <w:lang w:val="zh-CN"/>
        </w:rPr>
        <w:t>：提供承诺函；</w:t>
      </w:r>
    </w:p>
    <w:p w14:paraId="0E3BBDD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r>
        <w:rPr>
          <w:rFonts w:hint="eastAsia" w:ascii="Times New Roman" w:hAnsi="Times New Roman"/>
          <w:kern w:val="0"/>
          <w:sz w:val="24"/>
          <w:szCs w:val="24"/>
          <w:lang w:val="zh-CN"/>
        </w:rPr>
        <w:t>：提供承诺函；</w:t>
      </w:r>
    </w:p>
    <w:p w14:paraId="5882B65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347EA4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67E2AB78">
      <w:pPr>
        <w:pageBreakBefore w:val="0"/>
        <w:kinsoku/>
        <w:wordWrap/>
        <w:overflowPunct/>
        <w:topLinePunct w:val="0"/>
        <w:bidi w:val="0"/>
        <w:snapToGrid/>
        <w:spacing w:line="400" w:lineRule="exact"/>
        <w:textAlignment w:val="auto"/>
        <w:rPr>
          <w:rFonts w:ascii="Times New Roman" w:hAnsi="Times New Roman"/>
          <w:kern w:val="0"/>
          <w:sz w:val="24"/>
          <w:szCs w:val="24"/>
        </w:rPr>
      </w:pP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w:t>
      </w:r>
      <w:r>
        <w:rPr>
          <w:rFonts w:hint="eastAsia" w:ascii="Times New Roman" w:hAnsi="Times New Roman"/>
          <w:b w:val="0"/>
          <w:bCs w:val="0"/>
          <w:color w:val="auto"/>
          <w:sz w:val="24"/>
          <w:szCs w:val="24"/>
          <w:lang w:eastAsia="zh-CN"/>
        </w:rPr>
        <w:t>报告时间：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16</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至202</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18</w:t>
      </w:r>
      <w:r>
        <w:rPr>
          <w:rFonts w:hint="eastAsia" w:ascii="Times New Roman" w:hAnsi="Times New Roman"/>
          <w:color w:val="000000" w:themeColor="text1"/>
          <w:sz w:val="24"/>
          <w:szCs w:val="24"/>
          <w14:textFill>
            <w14:solidFill>
              <w14:schemeClr w14:val="tx1"/>
            </w14:solidFill>
          </w14:textFill>
        </w:rPr>
        <w:t>日</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kern w:val="0"/>
          <w:sz w:val="24"/>
          <w:szCs w:val="24"/>
        </w:rPr>
        <w:t>202</w:t>
      </w:r>
      <w:r>
        <w:rPr>
          <w:rFonts w:hint="eastAsia" w:ascii="Times New Roman" w:hAnsi="Times New Roman"/>
          <w:color w:val="auto"/>
          <w:kern w:val="0"/>
          <w:sz w:val="24"/>
          <w:szCs w:val="24"/>
          <w:lang w:val="en-US" w:eastAsia="zh-CN"/>
        </w:rPr>
        <w:t>4</w:t>
      </w:r>
      <w:r>
        <w:rPr>
          <w:rFonts w:ascii="Times New Roman" w:hAnsi="Times New Roman"/>
          <w:color w:val="auto"/>
          <w:kern w:val="0"/>
          <w:sz w:val="24"/>
          <w:szCs w:val="24"/>
        </w:rPr>
        <w:t>年</w:t>
      </w:r>
      <w:r>
        <w:rPr>
          <w:rFonts w:hint="eastAsia" w:ascii="Times New Roman" w:hAnsi="Times New Roman"/>
          <w:color w:val="auto"/>
          <w:kern w:val="0"/>
          <w:sz w:val="24"/>
          <w:szCs w:val="24"/>
          <w:lang w:val="en-US" w:eastAsia="zh-CN"/>
        </w:rPr>
        <w:t>12</w:t>
      </w:r>
      <w:r>
        <w:rPr>
          <w:rFonts w:ascii="Times New Roman" w:hAnsi="Times New Roman"/>
          <w:color w:val="auto"/>
          <w:kern w:val="0"/>
          <w:sz w:val="24"/>
          <w:szCs w:val="24"/>
        </w:rPr>
        <w:t>月</w:t>
      </w:r>
      <w:r>
        <w:rPr>
          <w:rFonts w:hint="eastAsia" w:ascii="Times New Roman" w:hAnsi="Times New Roman"/>
          <w:color w:val="auto"/>
          <w:kern w:val="0"/>
          <w:sz w:val="24"/>
          <w:szCs w:val="24"/>
          <w:lang w:val="en-US" w:eastAsia="zh-CN"/>
        </w:rPr>
        <w:t>23</w:t>
      </w:r>
      <w:r>
        <w:rPr>
          <w:rFonts w:ascii="Times New Roman" w:hAnsi="Times New Roman"/>
          <w:color w:val="auto"/>
          <w:kern w:val="0"/>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hint="eastAsia" w:ascii="Times New Roman" w:hAnsi="Times New Roman" w:eastAsia="宋体"/>
          <w:color w:val="auto"/>
          <w:kern w:val="0"/>
          <w:sz w:val="24"/>
          <w:szCs w:val="24"/>
          <w:lang w:eastAsia="zh-CN"/>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hint="eastAsia" w:ascii="宋体" w:hAnsi="宋体" w:eastAsia="宋体" w:cs="宋体"/>
          <w:b/>
          <w:bCs/>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sz w:val="24"/>
          <w:szCs w:val="24"/>
          <w:lang w:eastAsia="zh-CN"/>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bCs/>
          <w:color w:val="000000" w:themeColor="text1"/>
          <w:sz w:val="24"/>
          <w:szCs w:val="24"/>
          <w14:textFill>
            <w14:solidFill>
              <w14:schemeClr w14:val="tx1"/>
            </w14:solidFill>
          </w14:textFill>
        </w:rPr>
        <w:t>：</w:t>
      </w:r>
      <w:r>
        <w:rPr>
          <w:rFonts w:ascii="Times New Roman" w:hAnsi="Times New Roman"/>
          <w:b w:val="0"/>
          <w:bCs/>
          <w:color w:val="000000" w:themeColor="text1"/>
          <w:sz w:val="24"/>
          <w:szCs w:val="24"/>
          <w14:textFill>
            <w14:solidFill>
              <w14:schemeClr w14:val="tx1"/>
            </w14:solidFill>
          </w14:textFill>
        </w:rPr>
        <w:t>202</w:t>
      </w:r>
      <w:r>
        <w:rPr>
          <w:rFonts w:hint="eastAsia" w:ascii="Times New Roman" w:hAnsi="Times New Roman"/>
          <w:b w:val="0"/>
          <w:bCs/>
          <w:color w:val="000000" w:themeColor="text1"/>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23</w:t>
      </w:r>
      <w:r>
        <w:rPr>
          <w:rFonts w:ascii="Times New Roman" w:hAnsi="Times New Roman"/>
          <w:b w:val="0"/>
          <w:bCs/>
          <w:color w:val="000000" w:themeColor="text1"/>
          <w:kern w:val="0"/>
          <w:sz w:val="24"/>
          <w:szCs w:val="24"/>
          <w14:textFill>
            <w14:solidFill>
              <w14:schemeClr w14:val="tx1"/>
            </w14:solidFill>
          </w14:textFill>
        </w:rPr>
        <w:t>日1</w:t>
      </w:r>
      <w:r>
        <w:rPr>
          <w:rFonts w:hint="eastAsia" w:ascii="Times New Roman" w:hAnsi="Times New Roman"/>
          <w:b w:val="0"/>
          <w:bCs/>
          <w:color w:val="000000" w:themeColor="text1"/>
          <w:kern w:val="0"/>
          <w:sz w:val="24"/>
          <w:szCs w:val="24"/>
          <w:lang w:val="en-US" w:eastAsia="zh-CN"/>
          <w14:textFill>
            <w14:solidFill>
              <w14:schemeClr w14:val="tx1"/>
            </w14:solidFill>
          </w14:textFill>
        </w:rPr>
        <w:t>5</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hint="eastAsia" w:ascii="Times New Roman" w:hAnsi="Times New Roman"/>
          <w:b/>
          <w:kern w:val="0"/>
          <w:sz w:val="24"/>
          <w:szCs w:val="24"/>
          <w:lang w:eastAsia="zh-CN"/>
        </w:rPr>
      </w:pPr>
      <w:r>
        <w:rPr>
          <w:rFonts w:hint="eastAsia" w:ascii="Times New Roman" w:hAnsi="Times New Roman"/>
          <w:b/>
          <w:kern w:val="0"/>
          <w:sz w:val="24"/>
          <w:szCs w:val="24"/>
        </w:rPr>
        <w:t>十一、</w:t>
      </w:r>
      <w:r>
        <w:rPr>
          <w:rFonts w:hint="eastAsia" w:ascii="Times New Roman" w:hAnsi="Times New Roman"/>
          <w:b/>
          <w:kern w:val="0"/>
          <w:sz w:val="24"/>
          <w:szCs w:val="24"/>
          <w:lang w:eastAsia="zh-CN"/>
        </w:rPr>
        <w:t>项目咨询人：吴老师，联系电话：</w:t>
      </w:r>
      <w:r>
        <w:rPr>
          <w:rFonts w:hint="eastAsia" w:ascii="Times New Roman" w:hAnsi="Times New Roman"/>
          <w:b/>
          <w:kern w:val="0"/>
          <w:sz w:val="24"/>
          <w:szCs w:val="24"/>
          <w:lang w:val="en-US" w:eastAsia="zh-CN"/>
        </w:rPr>
        <w:t>13547147144</w:t>
      </w:r>
      <w:r>
        <w:rPr>
          <w:rFonts w:hint="eastAsia" w:ascii="Times New Roman" w:hAnsi="Times New Roman"/>
          <w:b/>
          <w:kern w:val="0"/>
          <w:sz w:val="24"/>
          <w:szCs w:val="24"/>
          <w:lang w:eastAsia="zh-CN"/>
        </w:rPr>
        <w:t>。</w:t>
      </w:r>
    </w:p>
    <w:p w14:paraId="6CD4F4C6">
      <w:pPr>
        <w:pageBreakBefore w:val="0"/>
        <w:kinsoku/>
        <w:wordWrap/>
        <w:overflowPunct/>
        <w:topLinePunct w:val="0"/>
        <w:bidi w:val="0"/>
        <w:snapToGrid/>
        <w:spacing w:line="400" w:lineRule="exact"/>
        <w:textAlignment w:val="auto"/>
        <w:rPr>
          <w:rFonts w:hint="eastAsia" w:ascii="Times New Roman" w:hAnsi="Times New Roman"/>
          <w:b/>
          <w:kern w:val="0"/>
          <w:sz w:val="24"/>
          <w:szCs w:val="24"/>
          <w:lang w:eastAsia="zh-CN"/>
        </w:rPr>
      </w:pPr>
      <w:bookmarkStart w:id="1" w:name="_Toc52036324"/>
      <w:r>
        <w:rPr>
          <w:rFonts w:hint="eastAsia" w:ascii="Times New Roman" w:hAnsi="Times New Roman"/>
          <w:b/>
          <w:kern w:val="0"/>
          <w:sz w:val="24"/>
          <w:szCs w:val="24"/>
          <w:lang w:eastAsia="zh-CN"/>
        </w:rPr>
        <w:br w:type="page"/>
      </w:r>
    </w:p>
    <w:p w14:paraId="34CEB53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529A06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一、技术参数及要求</w:t>
      </w:r>
      <w:bookmarkStart w:id="2" w:name="_Toc233048245"/>
      <w:bookmarkStart w:id="3" w:name="_Toc350964160"/>
    </w:p>
    <w:p w14:paraId="52806A0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Times New Roman" w:hAnsi="Times New Roman" w:cs="Times New Roman"/>
          <w:color w:val="auto"/>
          <w:kern w:val="0"/>
          <w:sz w:val="24"/>
          <w:szCs w:val="24"/>
        </w:rPr>
      </w:pPr>
      <w:r>
        <w:rPr>
          <w:rFonts w:hint="eastAsia" w:ascii="微软雅黑" w:hAnsi="微软雅黑" w:eastAsia="微软雅黑" w:cs="微软雅黑"/>
          <w:b w:val="0"/>
          <w:bCs/>
          <w:color w:val="auto"/>
          <w:sz w:val="24"/>
          <w:szCs w:val="24"/>
          <w:lang w:val="en-US" w:eastAsia="zh-CN"/>
        </w:rPr>
        <w:t>▲</w:t>
      </w:r>
      <w:r>
        <w:rPr>
          <w:rFonts w:hint="eastAsia"/>
          <w:sz w:val="28"/>
          <w:szCs w:val="28"/>
        </w:rPr>
        <w:t>1.</w:t>
      </w:r>
      <w:r>
        <w:rPr>
          <w:rFonts w:hint="eastAsia" w:ascii="Times New Roman" w:hAnsi="Times New Roman" w:cs="Times New Roman"/>
          <w:color w:val="auto"/>
          <w:kern w:val="0"/>
          <w:sz w:val="24"/>
          <w:szCs w:val="24"/>
        </w:rPr>
        <w:t>医院感染管理组织在线(建立院内院感管理组织和协同体系,院区.科室及人员管理及维护)</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2.工作资料/内容在线(小蜘蛛，查找感控相关指南、规范、文献等的内容库及学习与交流的平台)</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3.全员知识培训与测评(考试)在线(培训易，培训学习与胜任力评价体系，适合各级医务人员感控培训、测评考试，支持自主上传课件视频与试卷)</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4.督査改进院科协同在线(督改易，适用于SDCA循环和PDCA循环从“发现问题-分析-改进-评价/总结”全过程在线)</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5.移动智能查检在线(智查易，适用各专项、专科等各项措施执行依从性督查，精细化管理并持续改进，支持自定院内查检表)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6.用品消耗管理在线(用品易，支持消耗品维护，领用、库存数据采集，对消耗品用量进行统计分析)</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7.管理报告及数据分析在线(可选择模版自定义生成督查、改进、培训考试等报告，查看各维度数据统计分析报表)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8.服务架构(采用面向服务的SOA架构，扩展性好，框架技术最为完善JAVA语言作为系统开发的语言)</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★9.技术框架(服务端:Java·(SpringMC架构,JDK1.7及以上)网站台:"JavaScript+Htm15.0苹果APP:0biectiveC++安</w:t>
      </w:r>
      <w:r>
        <w:rPr>
          <w:rFonts w:hint="eastAsia" w:ascii="Times New Roman" w:hAnsi="Times New Roman" w:cs="Times New Roman"/>
          <w:color w:val="auto"/>
          <w:kern w:val="0"/>
          <w:sz w:val="24"/>
          <w:szCs w:val="24"/>
          <w:lang w:val="en-US" w:eastAsia="zh-CN"/>
        </w:rPr>
        <w:t>卓</w:t>
      </w:r>
      <w:r>
        <w:rPr>
          <w:rFonts w:hint="eastAsia" w:ascii="Times New Roman" w:hAnsi="Times New Roman" w:cs="Times New Roman"/>
          <w:color w:val="auto"/>
          <w:kern w:val="0"/>
          <w:sz w:val="24"/>
          <w:szCs w:val="24"/>
        </w:rPr>
        <w:t>APP:Java)</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10.数据库(Mysq1.5.7)</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11.Web容器(Tomcat7.0)</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12.运行平台(阿里云服务器)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13.系统兼容性(个人计算机(Windows·XP及以上)，苹果手机、平板(系统I0S9.0及以上),安卓手机、平板(系统Android6.0及以上)</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14</w:t>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软件特性(文持终端数据离线保存，在线自动上传)</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★15.</w:t>
      </w:r>
      <w:r>
        <w:rPr>
          <w:rFonts w:hint="eastAsia" w:ascii="Times New Roman" w:hAnsi="Times New Roman" w:cs="Times New Roman"/>
          <w:color w:val="auto"/>
          <w:kern w:val="0"/>
          <w:sz w:val="24"/>
          <w:szCs w:val="24"/>
          <w:lang w:val="en-US" w:eastAsia="zh-CN"/>
        </w:rPr>
        <w:t>适配</w:t>
      </w:r>
      <w:r>
        <w:rPr>
          <w:rFonts w:hint="eastAsia" w:ascii="Times New Roman" w:hAnsi="Times New Roman" w:cs="Times New Roman"/>
          <w:color w:val="auto"/>
          <w:kern w:val="0"/>
          <w:sz w:val="24"/>
          <w:szCs w:val="24"/>
        </w:rPr>
        <w:t>各类安卓手机(Android系统)、安卓平板(PAD)和苹果手机(IOS系统)和苹果平板(IPAD)。</w:t>
      </w:r>
    </w:p>
    <w:p w14:paraId="0342CD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bCs/>
          <w:sz w:val="28"/>
          <w:szCs w:val="28"/>
          <w:lang w:val="en-US" w:eastAsia="zh-CN"/>
        </w:rPr>
      </w:pPr>
      <w:r>
        <w:rPr>
          <w:rFonts w:hint="eastAsia" w:ascii="Times New Roman" w:hAnsi="Times New Roman" w:cs="Times New Roman"/>
          <w:color w:val="auto"/>
          <w:kern w:val="0"/>
          <w:sz w:val="24"/>
          <w:szCs w:val="24"/>
        </w:rPr>
        <w:t>★</w:t>
      </w:r>
      <w:r>
        <w:rPr>
          <w:rFonts w:hint="eastAsia" w:ascii="宋体" w:hAnsi="宋体" w:eastAsia="宋体" w:cs="宋体"/>
          <w:b/>
          <w:bCs/>
          <w:sz w:val="28"/>
          <w:szCs w:val="28"/>
          <w:lang w:val="en-US" w:eastAsia="zh-CN"/>
        </w:rPr>
        <w:t>二、商务要求</w:t>
      </w:r>
    </w:p>
    <w:p w14:paraId="24BB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配送及安装地址：三台县人民医院指定地点。</w:t>
      </w:r>
    </w:p>
    <w:p w14:paraId="4EA99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lang w:val="en-US" w:eastAsia="zh-CN"/>
        </w:rPr>
        <w:t>1.3  交货期：</w:t>
      </w:r>
      <w:r>
        <w:rPr>
          <w:rFonts w:hint="eastAsia" w:ascii="宋体" w:hAnsi="宋体" w:eastAsia="宋体" w:cs="宋体"/>
          <w:sz w:val="24"/>
        </w:rPr>
        <w:t>合同签订后</w:t>
      </w:r>
      <w:r>
        <w:rPr>
          <w:rFonts w:ascii="宋体" w:hAnsi="宋体" w:eastAsia="宋体" w:cs="宋体"/>
          <w:sz w:val="24"/>
        </w:rPr>
        <w:t>60</w:t>
      </w:r>
      <w:r>
        <w:rPr>
          <w:rFonts w:hint="eastAsia" w:ascii="宋体" w:hAnsi="宋体" w:eastAsia="宋体" w:cs="宋体"/>
          <w:sz w:val="24"/>
        </w:rPr>
        <w:t>个日历日内完成安装调试并上线。</w:t>
      </w:r>
    </w:p>
    <w:p w14:paraId="19883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cs="宋体"/>
          <w:sz w:val="24"/>
          <w:lang w:eastAsia="zh-CN"/>
        </w:rPr>
        <w:t>合同期限：</w:t>
      </w:r>
      <w:r>
        <w:rPr>
          <w:rFonts w:hint="eastAsia" w:ascii="宋体" w:hAnsi="宋体" w:cs="宋体"/>
          <w:sz w:val="24"/>
          <w:lang w:val="en-US" w:eastAsia="zh-CN"/>
        </w:rPr>
        <w:t>1年。</w:t>
      </w:r>
    </w:p>
    <w:p w14:paraId="0152A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.质保期及售后服务要求</w:t>
      </w:r>
    </w:p>
    <w:p w14:paraId="03850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.1  质保期：</w:t>
      </w:r>
      <w:bookmarkStart w:id="4" w:name="_Toc52036325"/>
      <w:bookmarkStart w:id="5" w:name="_Toc520455383"/>
      <w:r>
        <w:rPr>
          <w:rFonts w:hint="eastAsia" w:ascii="宋体" w:hAnsi="宋体" w:eastAsia="宋体" w:cs="宋体"/>
          <w:sz w:val="24"/>
          <w:szCs w:val="24"/>
          <w:lang w:val="en-US" w:eastAsia="zh-CN"/>
        </w:rPr>
        <w:t>1年，从最终验收合格后开始计算。</w:t>
      </w:r>
    </w:p>
    <w:p w14:paraId="126026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.2  在质保期内，</w:t>
      </w:r>
      <w:r>
        <w:rPr>
          <w:rFonts w:hint="eastAsia" w:ascii="宋体" w:hAnsi="宋体" w:eastAsia="宋体" w:cs="宋体"/>
          <w:sz w:val="24"/>
          <w:lang w:val="en-US" w:eastAsia="zh-CN"/>
        </w:rPr>
        <w:t>提供7*24小时服务</w:t>
      </w:r>
      <w:r>
        <w:rPr>
          <w:rFonts w:hint="eastAsia" w:ascii="宋体" w:hAnsi="宋体" w:cs="宋体"/>
          <w:sz w:val="24"/>
          <w:lang w:val="en-US" w:eastAsia="zh-CN"/>
        </w:rPr>
        <w:t>。</w:t>
      </w:r>
    </w:p>
    <w:p w14:paraId="07131E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.付款方法和条件</w:t>
      </w:r>
    </w:p>
    <w:p w14:paraId="501F2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.1  </w:t>
      </w:r>
      <w:r>
        <w:rPr>
          <w:rFonts w:hint="eastAsia" w:ascii="宋体" w:hAnsi="宋体" w:eastAsia="宋体" w:cs="宋体"/>
          <w:sz w:val="24"/>
        </w:rPr>
        <w:t>签订合同后30个工作日内支付合同总金额的30%，所有软件安装调试验收合格后30个工作日内支付合同总金额的</w:t>
      </w:r>
      <w:r>
        <w:rPr>
          <w:rFonts w:hint="eastAsia" w:ascii="宋体" w:hAnsi="宋体" w:eastAsia="宋体" w:cs="宋体"/>
          <w:sz w:val="24"/>
          <w:lang w:val="en-US" w:eastAsia="zh-CN"/>
        </w:rPr>
        <w:t>70</w:t>
      </w:r>
      <w:r>
        <w:rPr>
          <w:rFonts w:hint="eastAsia" w:ascii="宋体" w:hAnsi="宋体" w:eastAsia="宋体" w:cs="宋体"/>
          <w:sz w:val="24"/>
        </w:rPr>
        <w:t>%。</w:t>
      </w:r>
    </w:p>
    <w:p w14:paraId="7D8D9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  付款方式：转账、电汇等非现金方式。</w:t>
      </w:r>
    </w:p>
    <w:p w14:paraId="6C3DB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bookmarkStart w:id="6" w:name="_Toc520455385"/>
      <w:r>
        <w:rPr>
          <w:rFonts w:hint="eastAsia" w:ascii="宋体" w:hAnsi="宋体" w:eastAsia="宋体" w:cs="宋体"/>
          <w:kern w:val="2"/>
          <w:sz w:val="24"/>
          <w:szCs w:val="24"/>
          <w:lang w:val="en-US" w:eastAsia="zh-CN" w:bidi="ar-SA"/>
        </w:rPr>
        <w:t>验收标准：</w:t>
      </w:r>
      <w:r>
        <w:rPr>
          <w:rFonts w:hint="eastAsia" w:ascii="宋体" w:hAnsi="宋体" w:eastAsia="宋体" w:cs="宋体"/>
          <w:sz w:val="24"/>
        </w:rPr>
        <w:t>中标人与采购人严格参照《绵阳市财政局关于进一步加强履约验收管理的通知》(绵财采〔2019〕22号)及</w:t>
      </w:r>
      <w:r>
        <w:rPr>
          <w:rFonts w:hint="eastAsia" w:ascii="宋体" w:hAnsi="宋体" w:cs="宋体"/>
          <w:sz w:val="24"/>
          <w:lang w:eastAsia="zh-CN"/>
        </w:rPr>
        <w:t>比选</w:t>
      </w:r>
      <w:r>
        <w:rPr>
          <w:rFonts w:hint="eastAsia" w:ascii="宋体" w:hAnsi="宋体" w:eastAsia="宋体" w:cs="宋体"/>
          <w:sz w:val="24"/>
        </w:rPr>
        <w:t>文件技术要求、响应文件响应情况和国家、行业标准进行验收</w:t>
      </w:r>
      <w:r>
        <w:rPr>
          <w:rFonts w:hint="eastAsia" w:ascii="宋体" w:hAnsi="宋体" w:cs="宋体"/>
          <w:sz w:val="24"/>
          <w:lang w:eastAsia="zh-CN"/>
        </w:rPr>
        <w:t>。</w:t>
      </w:r>
    </w:p>
    <w:p w14:paraId="1F8FF2B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w:t>
      </w:r>
      <w:r>
        <w:rPr>
          <w:rFonts w:hint="eastAsia" w:ascii="Times New Roman" w:hAnsi="Times New Roman"/>
          <w:b/>
          <w:bCs/>
          <w:kern w:val="0"/>
          <w:sz w:val="28"/>
          <w:szCs w:val="28"/>
          <w:lang w:val="zh-CN"/>
        </w:rPr>
        <w:t>报价为一次性报价</w:t>
      </w:r>
      <w:r>
        <w:rPr>
          <w:rFonts w:hint="eastAsia" w:ascii="Times New Roman" w:hAnsi="Times New Roman"/>
          <w:b/>
          <w:bCs/>
          <w:kern w:val="0"/>
          <w:sz w:val="24"/>
          <w:szCs w:val="24"/>
          <w:lang w:val="zh-CN"/>
        </w:rPr>
        <w:t>。）</w:t>
      </w:r>
    </w:p>
    <w:p w14:paraId="4EB976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r>
        <w:rPr>
          <w:rFonts w:hint="eastAsia" w:ascii="Times New Roman" w:hAnsi="Times New Roman"/>
          <w:kern w:val="0"/>
          <w:sz w:val="24"/>
          <w:szCs w:val="24"/>
          <w:lang w:val="zh-CN"/>
        </w:rPr>
        <w:t>：</w:t>
      </w:r>
      <w:r>
        <w:rPr>
          <w:rFonts w:ascii="Times New Roman" w:hAnsi="Times New Roman"/>
          <w:kern w:val="0"/>
          <w:sz w:val="24"/>
          <w:szCs w:val="24"/>
          <w:lang w:val="zh-CN"/>
        </w:rPr>
        <w:t>提供营业范围内有效的“统一社会信用代码营业执照”</w:t>
      </w:r>
      <w:r>
        <w:rPr>
          <w:rFonts w:hint="eastAsia" w:ascii="Times New Roman" w:hAnsi="Times New Roman"/>
          <w:kern w:val="0"/>
          <w:sz w:val="24"/>
          <w:szCs w:val="24"/>
          <w:lang w:val="zh-CN"/>
        </w:rPr>
        <w:t>；</w:t>
      </w:r>
    </w:p>
    <w:p w14:paraId="575D815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：提供承诺函；</w:t>
      </w:r>
    </w:p>
    <w:p w14:paraId="580938F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r>
        <w:rPr>
          <w:rFonts w:hint="eastAsia" w:ascii="Times New Roman" w:hAnsi="Times New Roman"/>
          <w:kern w:val="0"/>
          <w:sz w:val="24"/>
          <w:szCs w:val="24"/>
          <w:lang w:val="zh-CN"/>
        </w:rPr>
        <w:t>：提供承诺函；</w:t>
      </w:r>
    </w:p>
    <w:p w14:paraId="0B4B64F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r>
        <w:rPr>
          <w:rFonts w:hint="eastAsia" w:ascii="Times New Roman" w:hAnsi="Times New Roman"/>
          <w:kern w:val="0"/>
          <w:sz w:val="24"/>
          <w:szCs w:val="24"/>
          <w:lang w:val="zh-CN"/>
        </w:rPr>
        <w:t>：提供承诺函；</w:t>
      </w:r>
    </w:p>
    <w:p w14:paraId="2D1356F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r>
        <w:rPr>
          <w:rFonts w:hint="eastAsia" w:ascii="Times New Roman" w:hAnsi="Times New Roman"/>
          <w:kern w:val="0"/>
          <w:sz w:val="24"/>
          <w:szCs w:val="24"/>
          <w:lang w:val="zh-CN"/>
        </w:rPr>
        <w:t>：提供承诺函；</w:t>
      </w:r>
    </w:p>
    <w:p w14:paraId="57F4E10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r>
        <w:rPr>
          <w:rFonts w:hint="eastAsia" w:ascii="Times New Roman" w:hAnsi="Times New Roman"/>
          <w:kern w:val="0"/>
          <w:sz w:val="24"/>
          <w:szCs w:val="24"/>
          <w:lang w:val="zh-CN"/>
        </w:rPr>
        <w:t>：提供承诺函；</w:t>
      </w:r>
    </w:p>
    <w:p w14:paraId="5B3EFEA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6CF7AF8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53480F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3DF663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1E5765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600CA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4A5466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7F5681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2BFB2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1BD7FF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25D11C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eastAsia="宋体"/>
          <w:b/>
          <w:bCs/>
          <w:color w:val="FF0000"/>
          <w:kern w:val="0"/>
          <w:sz w:val="24"/>
          <w:szCs w:val="20"/>
          <w:lang w:val="en-US"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p>
    <w:bookmarkEnd w:id="4"/>
    <w:bookmarkEnd w:id="5"/>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1061"/>
        <w:gridCol w:w="707"/>
        <w:gridCol w:w="5266"/>
        <w:gridCol w:w="1647"/>
      </w:tblGrid>
      <w:tr w14:paraId="6EF6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 w:type="pct"/>
            <w:noWrap w:val="0"/>
            <w:vAlign w:val="center"/>
          </w:tcPr>
          <w:p w14:paraId="322839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585" w:type="pct"/>
            <w:noWrap w:val="0"/>
            <w:vAlign w:val="center"/>
          </w:tcPr>
          <w:p w14:paraId="27404B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p w14:paraId="4FFFA0F7">
            <w:pPr>
              <w:pStyle w:val="2"/>
              <w:ind w:left="0" w:leftChars="0" w:firstLine="0" w:firstLineChars="0"/>
              <w:rPr>
                <w:rFonts w:hint="eastAsia"/>
              </w:rPr>
            </w:pPr>
            <w:r>
              <w:rPr>
                <w:rFonts w:hint="eastAsia" w:ascii="宋体" w:hAnsi="宋体" w:eastAsia="宋体" w:cs="宋体"/>
                <w:color w:val="000000"/>
                <w:sz w:val="24"/>
                <w:szCs w:val="24"/>
                <w:lang w:eastAsia="zh-CN"/>
              </w:rPr>
              <w:t>及权重</w:t>
            </w:r>
          </w:p>
        </w:tc>
        <w:tc>
          <w:tcPr>
            <w:tcW w:w="390" w:type="pct"/>
            <w:noWrap w:val="0"/>
            <w:vAlign w:val="center"/>
          </w:tcPr>
          <w:p w14:paraId="24BC9E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2906" w:type="pct"/>
            <w:noWrap w:val="0"/>
            <w:vAlign w:val="center"/>
          </w:tcPr>
          <w:p w14:paraId="3F605A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909" w:type="pct"/>
            <w:noWrap w:val="0"/>
            <w:vAlign w:val="center"/>
          </w:tcPr>
          <w:p w14:paraId="7709DC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8EC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208" w:type="pct"/>
            <w:noWrap w:val="0"/>
            <w:vAlign w:val="center"/>
          </w:tcPr>
          <w:p w14:paraId="3DD0F2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85" w:type="pct"/>
            <w:noWrap w:val="0"/>
            <w:vAlign w:val="center"/>
          </w:tcPr>
          <w:p w14:paraId="57465F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77D71EE2">
            <w:pPr>
              <w:pStyle w:val="2"/>
              <w:ind w:left="0" w:leftChars="0" w:firstLine="0" w:firstLineChars="0"/>
              <w:jc w:val="center"/>
              <w:rPr>
                <w:rFonts w:hint="default" w:eastAsia="宋体"/>
                <w:lang w:val="en-US" w:eastAsia="zh-CN"/>
              </w:rPr>
            </w:pPr>
            <w:r>
              <w:rPr>
                <w:rFonts w:hint="eastAsia" w:cs="宋体"/>
                <w:color w:val="auto"/>
                <w:sz w:val="21"/>
                <w:szCs w:val="21"/>
                <w:highlight w:val="none"/>
                <w:lang w:val="en-US" w:eastAsia="zh-CN"/>
              </w:rPr>
              <w:t>20%</w:t>
            </w:r>
          </w:p>
        </w:tc>
        <w:tc>
          <w:tcPr>
            <w:tcW w:w="390" w:type="pct"/>
            <w:noWrap w:val="0"/>
            <w:vAlign w:val="center"/>
          </w:tcPr>
          <w:p w14:paraId="576DE1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2906" w:type="pct"/>
            <w:noWrap w:val="0"/>
            <w:vAlign w:val="top"/>
          </w:tcPr>
          <w:p w14:paraId="06E75AC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满足采购文件要求且报价最低的价格为评审基准价，其价格分为满分</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的价格分统一按照下列公式计算：报价得分=(评审基准价／报价)* </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09" w:type="pct"/>
            <w:noWrap w:val="0"/>
            <w:vAlign w:val="top"/>
          </w:tcPr>
          <w:p w14:paraId="3D01F8C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以开标一览表为准，评分的取值按四舍五入法，保留小数点后两位。</w:t>
            </w:r>
          </w:p>
        </w:tc>
      </w:tr>
      <w:tr w14:paraId="000F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8" w:type="pct"/>
            <w:noWrap w:val="0"/>
            <w:vAlign w:val="center"/>
          </w:tcPr>
          <w:p w14:paraId="5FF528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85" w:type="pct"/>
            <w:noWrap w:val="0"/>
            <w:vAlign w:val="center"/>
          </w:tcPr>
          <w:p w14:paraId="519825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w:t>
            </w:r>
          </w:p>
          <w:p w14:paraId="43AB9E18">
            <w:pPr>
              <w:pStyle w:val="2"/>
              <w:ind w:left="0" w:leftChars="0" w:firstLine="0" w:firstLineChars="0"/>
              <w:jc w:val="center"/>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44%</w:t>
            </w:r>
          </w:p>
        </w:tc>
        <w:tc>
          <w:tcPr>
            <w:tcW w:w="390" w:type="pct"/>
            <w:noWrap w:val="0"/>
            <w:vAlign w:val="center"/>
          </w:tcPr>
          <w:p w14:paraId="10602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629F86E7">
            <w:pPr>
              <w:numPr>
                <w:ilvl w:val="0"/>
                <w:numId w:val="0"/>
              </w:numPr>
              <w:spacing w:line="360" w:lineRule="auto"/>
              <w:ind w:left="105" w:left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完全符合招标文件要求没有负偏离得</w:t>
            </w:r>
            <w:r>
              <w:rPr>
                <w:rFonts w:hint="eastAsia" w:ascii="宋体" w:hAnsi="宋体" w:cs="宋体"/>
                <w:color w:val="000000" w:themeColor="text1"/>
                <w:sz w:val="21"/>
                <w:szCs w:val="21"/>
                <w:lang w:val="en-US" w:eastAsia="zh-CN"/>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带“</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”符号为重要参数，若有一项未响应、不满足或负偏离</w:t>
            </w:r>
            <w:r>
              <w:rPr>
                <w:rFonts w:hint="eastAsia" w:ascii="宋体" w:hAnsi="宋体" w:eastAsia="宋体" w:cs="宋体"/>
                <w:color w:val="000000" w:themeColor="text1"/>
                <w:sz w:val="21"/>
                <w:szCs w:val="21"/>
                <w:highlight w:val="none"/>
                <w:lang w:eastAsia="zh-CN"/>
                <w14:textFill>
                  <w14:solidFill>
                    <w14:schemeClr w14:val="tx1"/>
                  </w14:solidFill>
                </w14:textFill>
              </w:rPr>
              <w:t>的，直接无效投标，</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号</w:t>
            </w:r>
            <w:r>
              <w:rPr>
                <w:rFonts w:hint="eastAsia" w:ascii="宋体" w:hAnsi="宋体" w:eastAsia="宋体" w:cs="宋体"/>
                <w:color w:val="000000" w:themeColor="text1"/>
                <w:sz w:val="21"/>
                <w:szCs w:val="21"/>
                <w14:textFill>
                  <w14:solidFill>
                    <w14:schemeClr w14:val="tx1"/>
                  </w14:solidFill>
                </w14:textFill>
              </w:rPr>
              <w:t>条款的技术参数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共6条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，一条不满足扣</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分，非▲号条款的技术参数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共7条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，一条不满足扣</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分，扣完为止。</w:t>
            </w:r>
          </w:p>
          <w:p w14:paraId="31F45C1F">
            <w:pPr>
              <w:pStyle w:val="23"/>
              <w:ind w:left="0" w:leftChars="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p>
        </w:tc>
        <w:tc>
          <w:tcPr>
            <w:tcW w:w="909" w:type="pct"/>
            <w:noWrap w:val="0"/>
            <w:vAlign w:val="top"/>
          </w:tcPr>
          <w:p w14:paraId="3D5E520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▲号参数须提供产品说明书或检测报告证明材料作为佐证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不提供不得分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佐证材料加盖公司公章。</w:t>
            </w:r>
          </w:p>
        </w:tc>
      </w:tr>
      <w:tr w14:paraId="4DA6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208" w:type="pct"/>
            <w:shd w:val="clear" w:color="auto" w:fill="auto"/>
            <w:noWrap w:val="0"/>
            <w:vAlign w:val="center"/>
          </w:tcPr>
          <w:p w14:paraId="439113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85" w:type="pct"/>
            <w:shd w:val="clear" w:color="auto" w:fill="auto"/>
            <w:noWrap w:val="0"/>
            <w:vAlign w:val="center"/>
          </w:tcPr>
          <w:p w14:paraId="047997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w:t>
            </w:r>
          </w:p>
          <w:p w14:paraId="7008AF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w:t>
            </w:r>
          </w:p>
          <w:p w14:paraId="06D94730">
            <w:pPr>
              <w:pStyle w:val="2"/>
              <w:ind w:left="0" w:leftChars="0" w:firstLine="0" w:firstLineChars="0"/>
              <w:jc w:val="center"/>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15%</w:t>
            </w:r>
          </w:p>
        </w:tc>
        <w:tc>
          <w:tcPr>
            <w:tcW w:w="390" w:type="pct"/>
            <w:shd w:val="clear" w:color="auto" w:fill="auto"/>
            <w:noWrap w:val="0"/>
            <w:vAlign w:val="center"/>
          </w:tcPr>
          <w:p w14:paraId="6E629B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2906" w:type="pct"/>
            <w:shd w:val="clear" w:color="auto" w:fill="auto"/>
            <w:noWrap w:val="0"/>
            <w:vAlign w:val="top"/>
          </w:tcPr>
          <w:p w14:paraId="724748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实施方案包含但不限于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①方案架构整体设计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②项目实施数据迁移进度管理及控制计划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14:textFill>
                  <w14:solidFill>
                    <w14:schemeClr w14:val="tx1"/>
                  </w14:solidFill>
                </w14:textFill>
              </w:rPr>
              <w:t>突发事件处置方案及合理化建议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④项目实施过程中应急保障措施内容</w:t>
            </w:r>
            <w:r>
              <w:rPr>
                <w:rFonts w:hint="eastAsia" w:ascii="宋体" w:hAnsi="宋体" w:eastAsia="宋体" w:cs="宋体"/>
                <w:color w:val="000000" w:themeColor="text1"/>
                <w:sz w:val="21"/>
                <w:szCs w:val="21"/>
                <w:highlight w:val="none"/>
                <w:lang w:eastAsia="zh-CN"/>
                <w14:textFill>
                  <w14:solidFill>
                    <w14:schemeClr w14:val="tx1"/>
                  </w14:solidFill>
                </w14:textFill>
              </w:rPr>
              <w:t>，⑤项目质量保障措施等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方案内容齐全且完全满足本项目实际需求的得15分。</w:t>
            </w:r>
            <w:r>
              <w:rPr>
                <w:rFonts w:hint="eastAsia" w:ascii="宋体" w:hAnsi="宋体" w:eastAsia="宋体" w:cs="宋体"/>
                <w:color w:val="000000" w:themeColor="text1"/>
                <w:sz w:val="21"/>
                <w:szCs w:val="21"/>
                <w14:textFill>
                  <w14:solidFill>
                    <w14:schemeClr w14:val="tx1"/>
                  </w14:solidFill>
                </w14:textFill>
              </w:rPr>
              <w:t>每缺少一项内容扣</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分，每有一项内容存在缺陷的扣</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分，扣完为止</w:t>
            </w:r>
            <w:r>
              <w:rPr>
                <w:rFonts w:hint="eastAsia" w:ascii="宋体" w:hAnsi="宋体" w:cs="宋体"/>
                <w:color w:val="000000" w:themeColor="text1"/>
                <w:sz w:val="21"/>
                <w:szCs w:val="21"/>
                <w:lang w:eastAsia="zh-CN"/>
                <w14:textFill>
                  <w14:solidFill>
                    <w14:schemeClr w14:val="tx1"/>
                  </w14:solidFill>
                </w14:textFill>
              </w:rPr>
              <w:t>。</w:t>
            </w:r>
          </w:p>
          <w:p w14:paraId="1F92BBF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注：缺陷是指：存在不适用项目实际情况的情形、凭空编造、方案中内容前后不一致、前后逻辑错误、涉及的规范及标准错误、地点区域错误、内容缺失、不符合项目实际情况等。</w:t>
            </w:r>
          </w:p>
        </w:tc>
        <w:tc>
          <w:tcPr>
            <w:tcW w:w="909" w:type="pct"/>
            <w:shd w:val="clear" w:color="auto" w:fill="auto"/>
            <w:noWrap w:val="0"/>
            <w:vAlign w:val="top"/>
          </w:tcPr>
          <w:p w14:paraId="02D2B6A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p>
        </w:tc>
      </w:tr>
      <w:tr w14:paraId="0AC7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08" w:type="pct"/>
            <w:noWrap w:val="0"/>
            <w:vAlign w:val="center"/>
          </w:tcPr>
          <w:p w14:paraId="66530A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85" w:type="pct"/>
            <w:noWrap w:val="0"/>
            <w:vAlign w:val="center"/>
          </w:tcPr>
          <w:p w14:paraId="77E1B1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p w14:paraId="30D69DBD">
            <w:pPr>
              <w:pStyle w:val="2"/>
              <w:ind w:left="0" w:leftChars="0" w:firstLine="0" w:firstLineChars="0"/>
              <w:jc w:val="center"/>
              <w:rPr>
                <w:rFonts w:hint="default"/>
                <w:lang w:val="en-US" w:eastAsia="zh-CN"/>
              </w:rPr>
            </w:pPr>
            <w:r>
              <w:rPr>
                <w:rFonts w:hint="eastAsia" w:cs="宋体"/>
                <w:color w:val="000000" w:themeColor="text1"/>
                <w:sz w:val="21"/>
                <w:szCs w:val="21"/>
                <w:highlight w:val="none"/>
                <w:lang w:val="en-US" w:eastAsia="zh-CN"/>
                <w14:textFill>
                  <w14:solidFill>
                    <w14:schemeClr w14:val="tx1"/>
                  </w14:solidFill>
                </w14:textFill>
              </w:rPr>
              <w:t>5%</w:t>
            </w:r>
          </w:p>
        </w:tc>
        <w:tc>
          <w:tcPr>
            <w:tcW w:w="390" w:type="pct"/>
            <w:noWrap w:val="0"/>
            <w:vAlign w:val="center"/>
          </w:tcPr>
          <w:p w14:paraId="1E8179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1836E76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投标人或制造厂家</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含1日）至响应文件递交截止之日止，</w:t>
            </w:r>
            <w:r>
              <w:rPr>
                <w:rFonts w:hint="eastAsia" w:ascii="宋体" w:hAnsi="宋体" w:eastAsia="宋体" w:cs="宋体"/>
                <w:color w:val="000000" w:themeColor="text1"/>
                <w:sz w:val="21"/>
                <w:szCs w:val="21"/>
                <w:highlight w:val="none"/>
                <w:lang w:eastAsia="zh-CN"/>
                <w14:textFill>
                  <w14:solidFill>
                    <w14:schemeClr w14:val="tx1"/>
                  </w14:solidFill>
                </w14:textFill>
              </w:rPr>
              <w:t>每提供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1个合同得1分，</w:t>
            </w:r>
            <w:r>
              <w:rPr>
                <w:rFonts w:hint="eastAsia" w:ascii="宋体" w:hAnsi="宋体" w:eastAsia="宋体" w:cs="宋体"/>
                <w:color w:val="000000" w:themeColor="text1"/>
                <w:sz w:val="21"/>
                <w:szCs w:val="21"/>
                <w:highlight w:val="none"/>
                <w14:textFill>
                  <w14:solidFill>
                    <w14:schemeClr w14:val="tx1"/>
                  </w14:solidFill>
                </w14:textFill>
              </w:rPr>
              <w:t>最多</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909" w:type="pct"/>
            <w:noWrap w:val="0"/>
            <w:vAlign w:val="top"/>
          </w:tcPr>
          <w:p w14:paraId="1B849B3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提供合同/协议复印件并加盖投标人的公章。</w:t>
            </w:r>
          </w:p>
        </w:tc>
      </w:tr>
      <w:tr w14:paraId="124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8" w:type="pct"/>
            <w:noWrap w:val="0"/>
            <w:vAlign w:val="center"/>
          </w:tcPr>
          <w:p w14:paraId="11E2AD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85" w:type="pct"/>
            <w:noWrap w:val="0"/>
            <w:vAlign w:val="center"/>
          </w:tcPr>
          <w:p w14:paraId="072BA7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人员配备</w:t>
            </w:r>
          </w:p>
          <w:p w14:paraId="276BC657">
            <w:pPr>
              <w:pStyle w:val="2"/>
              <w:ind w:left="0" w:leftChars="0" w:firstLine="0" w:firstLineChars="0"/>
              <w:jc w:val="center"/>
              <w:rPr>
                <w:rFonts w:hint="default"/>
                <w:lang w:val="en-US" w:eastAsia="zh-CN"/>
              </w:rPr>
            </w:pPr>
            <w:r>
              <w:rPr>
                <w:rFonts w:hint="eastAsia" w:cs="宋体"/>
                <w:color w:val="000000" w:themeColor="text1"/>
                <w:sz w:val="21"/>
                <w:szCs w:val="21"/>
                <w:highlight w:val="none"/>
                <w:lang w:val="en-US" w:eastAsia="zh-CN"/>
                <w14:textFill>
                  <w14:solidFill>
                    <w14:schemeClr w14:val="tx1"/>
                  </w14:solidFill>
                </w14:textFill>
              </w:rPr>
              <w:t>7%</w:t>
            </w:r>
          </w:p>
        </w:tc>
        <w:tc>
          <w:tcPr>
            <w:tcW w:w="390" w:type="pct"/>
            <w:noWrap w:val="0"/>
            <w:vAlign w:val="center"/>
          </w:tcPr>
          <w:p w14:paraId="294A5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367A9D8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一、拟投入本项目的技术人员：（1）具备数据库操作员中级证书的，每有一人得1分，本项最多得2分；（2）具备办公软件应用模块中级证书的，每有一人得1分，本项最多得2分。</w:t>
            </w:r>
          </w:p>
          <w:p w14:paraId="7336347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二、后续服务人员配置≥3名售后专业服务人员得3分，有2人得2分，有1人得1分，不提供，不得分。</w:t>
            </w:r>
          </w:p>
        </w:tc>
        <w:tc>
          <w:tcPr>
            <w:tcW w:w="909" w:type="pct"/>
            <w:noWrap w:val="0"/>
            <w:vAlign w:val="top"/>
          </w:tcPr>
          <w:p w14:paraId="3E41066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提供人员名单</w:t>
            </w:r>
            <w:r>
              <w:rPr>
                <w:rFonts w:hint="eastAsia" w:ascii="宋体" w:hAnsi="宋体" w:eastAsia="宋体" w:cs="宋体"/>
                <w:sz w:val="21"/>
                <w:szCs w:val="21"/>
                <w:lang w:eastAsia="zh-CN"/>
              </w:rPr>
              <w:t>、证书复印件及</w:t>
            </w:r>
            <w:r>
              <w:rPr>
                <w:rFonts w:hint="eastAsia" w:ascii="宋体" w:hAnsi="宋体" w:eastAsia="宋体" w:cs="宋体"/>
                <w:sz w:val="21"/>
                <w:szCs w:val="21"/>
              </w:rPr>
              <w:t>劳动合同或社保缴纳证明</w:t>
            </w:r>
            <w:r>
              <w:rPr>
                <w:rFonts w:hint="eastAsia" w:ascii="宋体" w:hAnsi="宋体" w:eastAsia="宋体" w:cs="宋体"/>
                <w:sz w:val="21"/>
                <w:szCs w:val="21"/>
                <w:lang w:eastAsia="zh-CN"/>
              </w:rPr>
              <w:t>，</w:t>
            </w:r>
            <w:r>
              <w:rPr>
                <w:rFonts w:hint="eastAsia" w:ascii="宋体" w:hAnsi="宋体" w:eastAsia="宋体" w:cs="宋体"/>
                <w:sz w:val="21"/>
                <w:szCs w:val="21"/>
              </w:rPr>
              <w:t>未提供相关证明材料均不得分</w:t>
            </w:r>
            <w:r>
              <w:rPr>
                <w:rFonts w:hint="eastAsia" w:ascii="宋体" w:hAnsi="宋体" w:eastAsia="宋体" w:cs="宋体"/>
                <w:sz w:val="21"/>
                <w:szCs w:val="21"/>
                <w:lang w:eastAsia="zh-CN"/>
              </w:rPr>
              <w:t>。</w:t>
            </w:r>
          </w:p>
        </w:tc>
      </w:tr>
      <w:tr w14:paraId="11DB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208" w:type="pct"/>
            <w:noWrap w:val="0"/>
            <w:vAlign w:val="center"/>
          </w:tcPr>
          <w:p w14:paraId="57BCF7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85" w:type="pct"/>
            <w:noWrap w:val="0"/>
            <w:vAlign w:val="center"/>
          </w:tcPr>
          <w:p w14:paraId="6169AE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14:paraId="5346FEAE">
            <w:pPr>
              <w:pStyle w:val="2"/>
              <w:ind w:left="0" w:leftChars="0" w:firstLine="0" w:firstLineChars="0"/>
              <w:jc w:val="center"/>
              <w:rPr>
                <w:rFonts w:hint="default"/>
                <w:lang w:val="en-US" w:eastAsia="zh-CN"/>
              </w:rPr>
            </w:pPr>
            <w:r>
              <w:rPr>
                <w:rFonts w:hint="eastAsia" w:cs="宋体"/>
                <w:color w:val="auto"/>
                <w:sz w:val="21"/>
                <w:szCs w:val="21"/>
                <w:highlight w:val="none"/>
                <w:lang w:val="en-US" w:eastAsia="zh-CN"/>
              </w:rPr>
              <w:t>9%</w:t>
            </w:r>
          </w:p>
        </w:tc>
        <w:tc>
          <w:tcPr>
            <w:tcW w:w="390" w:type="pct"/>
            <w:noWrap w:val="0"/>
            <w:vAlign w:val="center"/>
          </w:tcPr>
          <w:p w14:paraId="23B970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2906" w:type="pct"/>
            <w:noWrap w:val="0"/>
            <w:vAlign w:val="top"/>
          </w:tcPr>
          <w:p w14:paraId="243F742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售后服务方案包括：①维护方案和服务措施②培训服务能力③运行维护服务承诺</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售后服务方案内容齐全且完全满足本项目实际需求的得</w:t>
            </w:r>
            <w:r>
              <w:rPr>
                <w:rFonts w:hint="eastAsia" w:ascii="宋体" w:hAnsi="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CN" w:bidi="ar-SA"/>
              </w:rPr>
              <w:t>分。每缺少一项内容的扣</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分，每有一项内容描述有缺陷的扣1分，直至扣完为止。</w:t>
            </w:r>
          </w:p>
          <w:p w14:paraId="4C7CD4A5">
            <w:pPr>
              <w:pStyle w:val="23"/>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0"/>
                <w:kern w:val="0"/>
                <w:sz w:val="21"/>
                <w:szCs w:val="21"/>
                <w:highlight w:val="none"/>
                <w:lang w:val="en-US" w:eastAsia="zh-CN" w:bidi="ar-SA"/>
              </w:rPr>
              <w:t>注：缺陷是指：存在不适用项目实际情况的情形、凭空编造、方案中内容前后不一致、前后逻辑错误、涉及的规范及标准错误、地点区域错误、内容缺失、不符合项目实际情况等。</w:t>
            </w:r>
          </w:p>
        </w:tc>
        <w:tc>
          <w:tcPr>
            <w:tcW w:w="909" w:type="pct"/>
            <w:noWrap w:val="0"/>
            <w:vAlign w:val="top"/>
          </w:tcPr>
          <w:p w14:paraId="7A336B4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p>
        </w:tc>
      </w:tr>
    </w:tbl>
    <w:p w14:paraId="3FC72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p>
    <w:p w14:paraId="372B8565">
      <w:pPr>
        <w:rPr>
          <w:rFonts w:hint="eastAsia" w:ascii="Times New Roman" w:hAnsi="Times New Roman"/>
          <w:b/>
          <w:kern w:val="0"/>
          <w:sz w:val="32"/>
          <w:szCs w:val="20"/>
          <w:lang w:eastAsia="zh-CN"/>
        </w:rPr>
      </w:pPr>
    </w:p>
    <w:p w14:paraId="1621D07D">
      <w:pPr>
        <w:rPr>
          <w:rFonts w:hint="eastAsia" w:ascii="Times New Roman" w:hAnsi="Times New Roman"/>
          <w:b/>
          <w:kern w:val="0"/>
          <w:sz w:val="32"/>
          <w:szCs w:val="20"/>
          <w:lang w:eastAsia="zh-CN"/>
        </w:rPr>
      </w:pPr>
    </w:p>
    <w:p w14:paraId="18624C28">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6B0CB0EE">
      <w:pPr>
        <w:rPr>
          <w:rFonts w:hint="eastAsia" w:ascii="Times New Roman" w:hAnsi="Times New Roman"/>
          <w:b/>
          <w:kern w:val="0"/>
          <w:sz w:val="32"/>
          <w:szCs w:val="20"/>
          <w:lang w:eastAsia="zh-CN"/>
        </w:rPr>
      </w:pPr>
    </w:p>
    <w:p w14:paraId="73B265C9">
      <w:pPr>
        <w:rPr>
          <w:rFonts w:hint="eastAsia" w:ascii="Times New Roman" w:hAnsi="Times New Roman"/>
          <w:b/>
          <w:kern w:val="0"/>
          <w:sz w:val="32"/>
          <w:szCs w:val="20"/>
          <w:lang w:eastAsia="zh-CN"/>
        </w:rPr>
      </w:pPr>
    </w:p>
    <w:p w14:paraId="66BFA3AB">
      <w:pPr>
        <w:rPr>
          <w:rFonts w:hint="eastAsia" w:ascii="Times New Roman" w:hAnsi="Times New Roman"/>
          <w:b/>
          <w:kern w:val="0"/>
          <w:sz w:val="32"/>
          <w:szCs w:val="20"/>
          <w:lang w:eastAsia="zh-CN"/>
        </w:rPr>
      </w:pPr>
    </w:p>
    <w:p w14:paraId="3A5DF2D6">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33709793"/>
      <w:bookmarkStart w:id="8" w:name="_Toc40447267"/>
      <w:bookmarkStart w:id="9" w:name="_Toc34051805"/>
      <w:bookmarkStart w:id="10" w:name="_Toc33698132"/>
      <w:bookmarkStart w:id="11" w:name="_Toc52036326"/>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52036327"/>
      <w:bookmarkStart w:id="13" w:name="_Toc33709794"/>
      <w:bookmarkStart w:id="14" w:name="_Toc34051806"/>
      <w:bookmarkStart w:id="15" w:name="_Toc40447268"/>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709795"/>
      <w:bookmarkStart w:id="18" w:name="_Toc34051807"/>
      <w:bookmarkStart w:id="19" w:name="_Toc52036328"/>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4051808"/>
      <w:bookmarkStart w:id="23" w:name="_Toc33698135"/>
      <w:bookmarkStart w:id="24" w:name="_Toc40447270"/>
      <w:bookmarkStart w:id="25" w:name="_Toc33709796"/>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385992"/>
      <w:bookmarkStart w:id="28" w:name="_Toc307564880"/>
      <w:bookmarkStart w:id="29" w:name="_Toc436820890"/>
      <w:bookmarkStart w:id="30" w:name="_Toc436410129"/>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6838"/>
      <w:bookmarkStart w:id="33" w:name="_Toc503986415"/>
      <w:bookmarkStart w:id="34" w:name="_Toc503987104"/>
      <w:bookmarkStart w:id="35" w:name="_Toc503986971"/>
      <w:bookmarkStart w:id="36" w:name="_Toc503987183"/>
      <w:bookmarkStart w:id="37" w:name="_Toc503987293"/>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40447271"/>
      <w:bookmarkStart w:id="39" w:name="_Toc33698136"/>
      <w:bookmarkStart w:id="40" w:name="_Toc52036330"/>
      <w:bookmarkStart w:id="41" w:name="_Toc34051809"/>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3709798"/>
      <w:bookmarkStart w:id="44" w:name="_Toc33698137"/>
      <w:bookmarkStart w:id="45" w:name="_Toc40447272"/>
      <w:bookmarkStart w:id="46" w:name="_Toc52036331"/>
      <w:bookmarkStart w:id="47" w:name="_Toc34051810"/>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5A290789">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E20CBE1">
      <w:pPr>
        <w:spacing w:line="360" w:lineRule="auto"/>
        <w:rPr>
          <w:rFonts w:hint="default" w:ascii="Times New Roman" w:hAnsi="Times New Roman" w:eastAsia="宋体"/>
          <w:b/>
          <w:bCs/>
          <w:sz w:val="24"/>
          <w:lang w:val="en-US" w:eastAsia="zh-CN"/>
        </w:rPr>
      </w:pPr>
      <w:r>
        <w:rPr>
          <w:rFonts w:hint="eastAsia" w:ascii="Times New Roman" w:hAnsi="Times New Roman"/>
          <w:b/>
          <w:bCs/>
          <w:sz w:val="24"/>
          <w:lang w:val="en-US" w:eastAsia="zh-CN"/>
        </w:rPr>
        <w:t>3.报价为一次性报价。</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4F1858"/>
    <w:rsid w:val="0C917E83"/>
    <w:rsid w:val="0CD27FFC"/>
    <w:rsid w:val="0D0F4ED6"/>
    <w:rsid w:val="0D4D7A9D"/>
    <w:rsid w:val="0DA72122"/>
    <w:rsid w:val="0DAC4D70"/>
    <w:rsid w:val="0DC131C2"/>
    <w:rsid w:val="0E27338B"/>
    <w:rsid w:val="0E677033"/>
    <w:rsid w:val="0E7F1957"/>
    <w:rsid w:val="0E8212F4"/>
    <w:rsid w:val="0EA63619"/>
    <w:rsid w:val="0F977FCF"/>
    <w:rsid w:val="0F994434"/>
    <w:rsid w:val="0FDE2AF3"/>
    <w:rsid w:val="109160DD"/>
    <w:rsid w:val="10F7015B"/>
    <w:rsid w:val="112278CE"/>
    <w:rsid w:val="113411C1"/>
    <w:rsid w:val="113B16DB"/>
    <w:rsid w:val="123553DF"/>
    <w:rsid w:val="131B0AE4"/>
    <w:rsid w:val="14C04A92"/>
    <w:rsid w:val="14E31C89"/>
    <w:rsid w:val="14E84654"/>
    <w:rsid w:val="151614F8"/>
    <w:rsid w:val="15200185"/>
    <w:rsid w:val="15304B56"/>
    <w:rsid w:val="15EA028F"/>
    <w:rsid w:val="15F01D49"/>
    <w:rsid w:val="16CA07EC"/>
    <w:rsid w:val="17122347"/>
    <w:rsid w:val="17261D73"/>
    <w:rsid w:val="17F6222D"/>
    <w:rsid w:val="18461C09"/>
    <w:rsid w:val="18F02060"/>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2A297F"/>
    <w:rsid w:val="1D574167"/>
    <w:rsid w:val="1D632E00"/>
    <w:rsid w:val="1DA63635"/>
    <w:rsid w:val="1E0A001A"/>
    <w:rsid w:val="1E3B66CA"/>
    <w:rsid w:val="1E5F07E5"/>
    <w:rsid w:val="1E9B5F74"/>
    <w:rsid w:val="1E9B60F4"/>
    <w:rsid w:val="1EAB6A0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1508B6"/>
    <w:rsid w:val="21A63C04"/>
    <w:rsid w:val="21C5052E"/>
    <w:rsid w:val="21F51B2A"/>
    <w:rsid w:val="22034BB2"/>
    <w:rsid w:val="22BC4191"/>
    <w:rsid w:val="22CA3482"/>
    <w:rsid w:val="22F31C41"/>
    <w:rsid w:val="23502B75"/>
    <w:rsid w:val="23A6613D"/>
    <w:rsid w:val="23C652D4"/>
    <w:rsid w:val="23EE3640"/>
    <w:rsid w:val="24205EF8"/>
    <w:rsid w:val="247F6619"/>
    <w:rsid w:val="24F96C22"/>
    <w:rsid w:val="25CE6475"/>
    <w:rsid w:val="25FB20B3"/>
    <w:rsid w:val="260B04D9"/>
    <w:rsid w:val="261E7F3A"/>
    <w:rsid w:val="2629095F"/>
    <w:rsid w:val="26463681"/>
    <w:rsid w:val="271909D4"/>
    <w:rsid w:val="27457A1B"/>
    <w:rsid w:val="27AB1F74"/>
    <w:rsid w:val="288D1E54"/>
    <w:rsid w:val="288D40D6"/>
    <w:rsid w:val="28A10C81"/>
    <w:rsid w:val="28D32E27"/>
    <w:rsid w:val="28E15521"/>
    <w:rsid w:val="2932082A"/>
    <w:rsid w:val="2991577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EB833A8"/>
    <w:rsid w:val="2F053687"/>
    <w:rsid w:val="2F1239C7"/>
    <w:rsid w:val="2F5D26AF"/>
    <w:rsid w:val="2F814D58"/>
    <w:rsid w:val="2FB70420"/>
    <w:rsid w:val="30074DBE"/>
    <w:rsid w:val="30240B15"/>
    <w:rsid w:val="30C65728"/>
    <w:rsid w:val="30D81900"/>
    <w:rsid w:val="30DF2C8E"/>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9BB31B0"/>
    <w:rsid w:val="3A0C3897"/>
    <w:rsid w:val="3A0E0140"/>
    <w:rsid w:val="3A0E6217"/>
    <w:rsid w:val="3A7666DF"/>
    <w:rsid w:val="3A83468A"/>
    <w:rsid w:val="3AB16C65"/>
    <w:rsid w:val="3B077069"/>
    <w:rsid w:val="3B091F0D"/>
    <w:rsid w:val="3B0E03F8"/>
    <w:rsid w:val="3B8A7AB4"/>
    <w:rsid w:val="3BB07701"/>
    <w:rsid w:val="3BE1743B"/>
    <w:rsid w:val="3BF758E5"/>
    <w:rsid w:val="3C0A6E90"/>
    <w:rsid w:val="3C0E0AC9"/>
    <w:rsid w:val="3C1D522E"/>
    <w:rsid w:val="3C320116"/>
    <w:rsid w:val="3C693B9A"/>
    <w:rsid w:val="3C8B3CCA"/>
    <w:rsid w:val="3CF4186F"/>
    <w:rsid w:val="3D4E0F7F"/>
    <w:rsid w:val="3D8042BD"/>
    <w:rsid w:val="3D804EB1"/>
    <w:rsid w:val="3E03620E"/>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A04659"/>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4FE614EB"/>
    <w:rsid w:val="50165E6F"/>
    <w:rsid w:val="50277BC9"/>
    <w:rsid w:val="503E2CAF"/>
    <w:rsid w:val="50483F54"/>
    <w:rsid w:val="50513F03"/>
    <w:rsid w:val="50703ED4"/>
    <w:rsid w:val="50812FC2"/>
    <w:rsid w:val="50D15CF8"/>
    <w:rsid w:val="51066F16"/>
    <w:rsid w:val="513F4EEA"/>
    <w:rsid w:val="51AE40DC"/>
    <w:rsid w:val="51E96747"/>
    <w:rsid w:val="521C2FA3"/>
    <w:rsid w:val="523D462B"/>
    <w:rsid w:val="527E5751"/>
    <w:rsid w:val="52992845"/>
    <w:rsid w:val="52AB2BB6"/>
    <w:rsid w:val="52B14033"/>
    <w:rsid w:val="52B3764A"/>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B85605C"/>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136099"/>
    <w:rsid w:val="5F2136D8"/>
    <w:rsid w:val="5F3D27AA"/>
    <w:rsid w:val="5F4C0C3F"/>
    <w:rsid w:val="5F9B0133"/>
    <w:rsid w:val="5FD05326"/>
    <w:rsid w:val="601E1923"/>
    <w:rsid w:val="607478B7"/>
    <w:rsid w:val="60992EDF"/>
    <w:rsid w:val="60A03064"/>
    <w:rsid w:val="60BD5394"/>
    <w:rsid w:val="60E75FA3"/>
    <w:rsid w:val="611E7ED2"/>
    <w:rsid w:val="61761FA3"/>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823BDB"/>
    <w:rsid w:val="69E2467A"/>
    <w:rsid w:val="69E4351C"/>
    <w:rsid w:val="69EA352F"/>
    <w:rsid w:val="69FA5E67"/>
    <w:rsid w:val="6A364210"/>
    <w:rsid w:val="6A4F2F1A"/>
    <w:rsid w:val="6A5D01A4"/>
    <w:rsid w:val="6A6C529B"/>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311141"/>
    <w:rsid w:val="6E64736C"/>
    <w:rsid w:val="6E650051"/>
    <w:rsid w:val="6E6D5AB6"/>
    <w:rsid w:val="6F2C102A"/>
    <w:rsid w:val="6F514ADE"/>
    <w:rsid w:val="6F7C2E7B"/>
    <w:rsid w:val="6F833AC6"/>
    <w:rsid w:val="6FA74BB9"/>
    <w:rsid w:val="6FD444E6"/>
    <w:rsid w:val="6FD902CD"/>
    <w:rsid w:val="70092CE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98B4E50"/>
    <w:rsid w:val="7A1B6C1E"/>
    <w:rsid w:val="7A351B2A"/>
    <w:rsid w:val="7A525D02"/>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14B1D"/>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link w:val="53"/>
    <w:autoRedefine/>
    <w:qFormat/>
    <w:uiPriority w:val="0"/>
    <w:pPr>
      <w:spacing w:after="120"/>
    </w:pPr>
    <w:rPr>
      <w:rFonts w:ascii="Times New Roman" w:hAnsi="Times New Roman"/>
    </w:rPr>
  </w:style>
  <w:style w:type="paragraph" w:styleId="8">
    <w:name w:val="Body Text Indent"/>
    <w:basedOn w:val="1"/>
    <w:link w:val="54"/>
    <w:autoRedefine/>
    <w:qFormat/>
    <w:uiPriority w:val="0"/>
    <w:pPr>
      <w:spacing w:after="120"/>
      <w:ind w:left="420" w:leftChars="200"/>
    </w:pPr>
    <w:rPr>
      <w:rFonts w:ascii="Times New Roman" w:hAnsi="Times New Roman"/>
    </w:rPr>
  </w:style>
  <w:style w:type="paragraph" w:styleId="9">
    <w:name w:val="toc 3"/>
    <w:basedOn w:val="1"/>
    <w:next w:val="1"/>
    <w:autoRedefine/>
    <w:qFormat/>
    <w:uiPriority w:val="39"/>
    <w:pPr>
      <w:ind w:left="840" w:leftChars="400"/>
    </w:pPr>
  </w:style>
  <w:style w:type="paragraph" w:styleId="10">
    <w:name w:val="Plain Text"/>
    <w:basedOn w:val="1"/>
    <w:link w:val="70"/>
    <w:autoRedefine/>
    <w:qFormat/>
    <w:uiPriority w:val="0"/>
    <w:rPr>
      <w:rFonts w:ascii="宋体" w:hAnsi="Courier New" w:cs="Courier New"/>
      <w:szCs w:val="21"/>
    </w:rPr>
  </w:style>
  <w:style w:type="paragraph" w:styleId="11">
    <w:name w:val="Date"/>
    <w:basedOn w:val="1"/>
    <w:next w:val="1"/>
    <w:link w:val="59"/>
    <w:autoRedefine/>
    <w:qFormat/>
    <w:uiPriority w:val="0"/>
    <w:pPr>
      <w:ind w:left="100" w:leftChars="2500"/>
    </w:pPr>
    <w:rPr>
      <w:rFonts w:ascii="Times New Roman" w:hAnsi="Times New Roman"/>
    </w:rPr>
  </w:style>
  <w:style w:type="paragraph" w:styleId="12">
    <w:name w:val="Body Text Indent 2"/>
    <w:basedOn w:val="1"/>
    <w:link w:val="58"/>
    <w:autoRedefine/>
    <w:qFormat/>
    <w:uiPriority w:val="0"/>
    <w:pPr>
      <w:spacing w:after="120" w:line="480" w:lineRule="auto"/>
      <w:ind w:left="420" w:leftChars="200"/>
    </w:pPr>
  </w:style>
  <w:style w:type="paragraph" w:styleId="13">
    <w:name w:val="Balloon Text"/>
    <w:basedOn w:val="1"/>
    <w:link w:val="69"/>
    <w:autoRedefine/>
    <w:qFormat/>
    <w:uiPriority w:val="0"/>
    <w:rPr>
      <w:rFonts w:ascii="Times New Roman" w:hAnsi="Times New Roman"/>
      <w:sz w:val="18"/>
      <w:szCs w:val="18"/>
    </w:rPr>
  </w:style>
  <w:style w:type="paragraph" w:styleId="14">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3"/>
    <w:autoRedefine/>
    <w:qFormat/>
    <w:uiPriority w:val="0"/>
    <w:rPr>
      <w:rFonts w:ascii="Calibri" w:hAnsi="Calibri"/>
      <w:b/>
      <w:bCs/>
      <w:kern w:val="44"/>
      <w:sz w:val="44"/>
      <w:szCs w:val="44"/>
    </w:rPr>
  </w:style>
  <w:style w:type="character" w:customStyle="1" w:styleId="33">
    <w:name w:val="标题 2 Char"/>
    <w:basedOn w:val="26"/>
    <w:link w:val="4"/>
    <w:autoRedefine/>
    <w:qFormat/>
    <w:uiPriority w:val="0"/>
    <w:rPr>
      <w:rFonts w:ascii="Arial" w:hAnsi="Arial" w:eastAsia="黑体"/>
      <w:b/>
      <w:bCs/>
      <w:sz w:val="32"/>
      <w:szCs w:val="32"/>
    </w:rPr>
  </w:style>
  <w:style w:type="character" w:customStyle="1" w:styleId="34">
    <w:name w:val="标题 3 Char"/>
    <w:basedOn w:val="26"/>
    <w:link w:val="5"/>
    <w:autoRedefine/>
    <w:qFormat/>
    <w:uiPriority w:val="0"/>
    <w:rPr>
      <w:rFonts w:ascii="Calibri" w:hAnsi="Calibri"/>
      <w:b/>
      <w:bCs/>
      <w:kern w:val="2"/>
      <w:sz w:val="32"/>
      <w:szCs w:val="32"/>
    </w:rPr>
  </w:style>
  <w:style w:type="character" w:customStyle="1" w:styleId="35">
    <w:name w:val="批注框文本 Char"/>
    <w:link w:val="13"/>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0"/>
    <w:autoRedefine/>
    <w:qFormat/>
    <w:locked/>
    <w:uiPriority w:val="0"/>
    <w:rPr>
      <w:rFonts w:ascii="宋体" w:hAnsi="Courier New" w:cs="Courier New"/>
      <w:kern w:val="2"/>
      <w:sz w:val="21"/>
      <w:szCs w:val="21"/>
    </w:rPr>
  </w:style>
  <w:style w:type="character" w:customStyle="1" w:styleId="43">
    <w:name w:val="日期 Char"/>
    <w:link w:val="11"/>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4"/>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2"/>
    <w:autoRedefine/>
    <w:qFormat/>
    <w:uiPriority w:val="0"/>
    <w:rPr>
      <w:rFonts w:ascii="Calibri" w:hAnsi="Calibri"/>
      <w:kern w:val="2"/>
      <w:sz w:val="21"/>
      <w:szCs w:val="24"/>
    </w:rPr>
  </w:style>
  <w:style w:type="character" w:customStyle="1" w:styleId="59">
    <w:name w:val="日期 Char1"/>
    <w:basedOn w:val="26"/>
    <w:link w:val="11"/>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4"/>
    <w:autoRedefine/>
    <w:qFormat/>
    <w:uiPriority w:val="0"/>
    <w:rPr>
      <w:rFonts w:ascii="Calibri" w:hAnsi="Calibri"/>
      <w:kern w:val="2"/>
      <w:sz w:val="18"/>
      <w:szCs w:val="18"/>
    </w:rPr>
  </w:style>
  <w:style w:type="character" w:customStyle="1" w:styleId="69">
    <w:name w:val="批注框文本 Char1"/>
    <w:basedOn w:val="26"/>
    <w:link w:val="13"/>
    <w:autoRedefine/>
    <w:qFormat/>
    <w:uiPriority w:val="0"/>
    <w:rPr>
      <w:rFonts w:ascii="Calibri" w:hAnsi="Calibri"/>
      <w:kern w:val="2"/>
      <w:sz w:val="18"/>
      <w:szCs w:val="18"/>
    </w:rPr>
  </w:style>
  <w:style w:type="character" w:customStyle="1" w:styleId="70">
    <w:name w:val="纯文本 Char2"/>
    <w:basedOn w:val="26"/>
    <w:link w:val="10"/>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7741</Words>
  <Characters>8207</Characters>
  <Lines>102</Lines>
  <Paragraphs>28</Paragraphs>
  <TotalTime>36</TotalTime>
  <ScaleCrop>false</ScaleCrop>
  <LinksUpToDate>false</LinksUpToDate>
  <CharactersWithSpaces>9628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cp:lastPrinted>2024-10-22T01:15:00Z</cp:lastPrinted>
  <dcterms:modified xsi:type="dcterms:W3CDTF">2024-12-13T03:54:56Z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179F856892FB413785FB47888A02D07A_13</vt:lpwstr>
  </property>
</Properties>
</file>