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5"/>
        <w:rPr>
          <w:rFonts w:hint="eastAsia" w:ascii="宋体" w:hAnsi="宋体" w:eastAsia="宋体" w:cs="宋体"/>
          <w:b/>
          <w:bCs/>
          <w:sz w:val="52"/>
          <w:szCs w:val="52"/>
          <w:lang w:eastAsia="zh-CN"/>
        </w:rPr>
      </w:pPr>
    </w:p>
    <w:p w14:paraId="6C91C233">
      <w:pPr>
        <w:pStyle w:val="5"/>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铝芯电缆、钩臂垃圾箱、驾驶式洗地机采购项目</w:t>
      </w:r>
    </w:p>
    <w:p w14:paraId="651B51BC">
      <w:pPr>
        <w:pStyle w:val="5"/>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4"/>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2025年3月28日</w:t>
      </w:r>
    </w:p>
    <w:p w14:paraId="7781C039">
      <w:pPr>
        <w:pStyle w:val="4"/>
        <w:rPr>
          <w:rFonts w:hint="eastAsia" w:ascii="宋体" w:hAnsi="宋体" w:eastAsia="宋体" w:cs="宋体"/>
          <w:b/>
          <w:bCs/>
          <w:sz w:val="32"/>
          <w:szCs w:val="32"/>
        </w:rPr>
      </w:pPr>
    </w:p>
    <w:p w14:paraId="6456933E">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C1A409B">
      <w:pPr>
        <w:pStyle w:val="2"/>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三台县人民医院</w:t>
      </w:r>
      <w:r>
        <w:rPr>
          <w:rFonts w:hint="eastAsia" w:ascii="方正小标宋简体" w:hAnsi="方正小标宋简体" w:eastAsia="方正小标宋简体" w:cs="方正小标宋简体"/>
          <w:sz w:val="44"/>
          <w:szCs w:val="44"/>
          <w:lang w:val="en-US" w:eastAsia="zh-CN"/>
        </w:rPr>
        <w:t>关于铝芯电缆、钩臂垃圾箱、驾驶式洗地机</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铝芯电缆、钩臂垃圾箱、驾驶式洗地机</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铝芯电缆、钩臂垃圾箱、驾驶式洗地机采购项目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3E42E2B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560" w:firstLineChars="20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铝芯电缆、钩臂垃圾箱、驾驶式洗地机的参数、商务要求详见附件1。</w:t>
      </w:r>
    </w:p>
    <w:p w14:paraId="50660C73">
      <w:pPr>
        <w:pStyle w:val="11"/>
        <w:keepNext w:val="0"/>
        <w:keepLines w:val="0"/>
        <w:pageBreakBefore w:val="0"/>
        <w:widowControl w:val="0"/>
        <w:numPr>
          <w:ilvl w:val="0"/>
          <w:numId w:val="1"/>
        </w:numPr>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项目限价</w:t>
      </w:r>
    </w:p>
    <w:tbl>
      <w:tblPr>
        <w:tblStyle w:val="13"/>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05"/>
        <w:gridCol w:w="870"/>
        <w:gridCol w:w="870"/>
        <w:gridCol w:w="1395"/>
        <w:gridCol w:w="3660"/>
      </w:tblGrid>
      <w:tr w14:paraId="136B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5E0DAC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包号</w:t>
            </w:r>
          </w:p>
        </w:tc>
        <w:tc>
          <w:tcPr>
            <w:tcW w:w="1905" w:type="dxa"/>
            <w:shd w:val="clear" w:color="auto" w:fill="auto"/>
            <w:vAlign w:val="top"/>
          </w:tcPr>
          <w:p w14:paraId="44AFC11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产品名称</w:t>
            </w:r>
          </w:p>
        </w:tc>
        <w:tc>
          <w:tcPr>
            <w:tcW w:w="870" w:type="dxa"/>
            <w:shd w:val="clear" w:color="auto" w:fill="auto"/>
            <w:vAlign w:val="top"/>
          </w:tcPr>
          <w:p w14:paraId="039A2E4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单位</w:t>
            </w:r>
          </w:p>
        </w:tc>
        <w:tc>
          <w:tcPr>
            <w:tcW w:w="870" w:type="dxa"/>
            <w:shd w:val="clear" w:color="auto" w:fill="auto"/>
            <w:vAlign w:val="top"/>
          </w:tcPr>
          <w:p w14:paraId="27A9418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数量</w:t>
            </w:r>
          </w:p>
        </w:tc>
        <w:tc>
          <w:tcPr>
            <w:tcW w:w="1395" w:type="dxa"/>
          </w:tcPr>
          <w:p w14:paraId="1ADE86B6">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限价</w:t>
            </w:r>
          </w:p>
        </w:tc>
        <w:tc>
          <w:tcPr>
            <w:tcW w:w="3660" w:type="dxa"/>
          </w:tcPr>
          <w:p w14:paraId="67A2D6E7">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73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774C5A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01包</w:t>
            </w:r>
          </w:p>
        </w:tc>
        <w:tc>
          <w:tcPr>
            <w:tcW w:w="1905" w:type="dxa"/>
            <w:shd w:val="clear" w:color="auto" w:fill="auto"/>
            <w:vAlign w:val="top"/>
          </w:tcPr>
          <w:p w14:paraId="0AF592D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铝芯电缆</w:t>
            </w:r>
          </w:p>
        </w:tc>
        <w:tc>
          <w:tcPr>
            <w:tcW w:w="870" w:type="dxa"/>
            <w:shd w:val="clear" w:color="auto" w:fill="auto"/>
            <w:vAlign w:val="top"/>
          </w:tcPr>
          <w:p w14:paraId="773DDC9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米</w:t>
            </w:r>
          </w:p>
        </w:tc>
        <w:tc>
          <w:tcPr>
            <w:tcW w:w="870" w:type="dxa"/>
            <w:shd w:val="clear" w:color="auto" w:fill="auto"/>
            <w:vAlign w:val="top"/>
          </w:tcPr>
          <w:p w14:paraId="604FAFD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1280</w:t>
            </w:r>
          </w:p>
        </w:tc>
        <w:tc>
          <w:tcPr>
            <w:tcW w:w="1395" w:type="dxa"/>
          </w:tcPr>
          <w:p w14:paraId="073D1DC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万元</w:t>
            </w:r>
          </w:p>
        </w:tc>
        <w:tc>
          <w:tcPr>
            <w:tcW w:w="3660" w:type="dxa"/>
          </w:tcPr>
          <w:p w14:paraId="147B21E9">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eastAsia" w:ascii="宋体" w:hAnsi="宋体" w:eastAsia="宋体" w:cs="宋体"/>
                <w:sz w:val="28"/>
                <w:szCs w:val="28"/>
                <w:vertAlign w:val="baseline"/>
                <w:lang w:val="en-US" w:eastAsia="zh-CN"/>
              </w:rPr>
            </w:pPr>
          </w:p>
        </w:tc>
      </w:tr>
      <w:tr w14:paraId="24D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6E569BF3">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02包</w:t>
            </w:r>
          </w:p>
        </w:tc>
        <w:tc>
          <w:tcPr>
            <w:tcW w:w="1905" w:type="dxa"/>
            <w:shd w:val="clear" w:color="auto" w:fill="auto"/>
            <w:vAlign w:val="top"/>
          </w:tcPr>
          <w:p w14:paraId="6E71614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钩臂垃圾箱</w:t>
            </w:r>
          </w:p>
        </w:tc>
        <w:tc>
          <w:tcPr>
            <w:tcW w:w="870" w:type="dxa"/>
            <w:shd w:val="clear" w:color="auto" w:fill="auto"/>
            <w:vAlign w:val="top"/>
          </w:tcPr>
          <w:p w14:paraId="4486D38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个</w:t>
            </w:r>
          </w:p>
        </w:tc>
        <w:tc>
          <w:tcPr>
            <w:tcW w:w="870" w:type="dxa"/>
            <w:shd w:val="clear" w:color="auto" w:fill="auto"/>
            <w:vAlign w:val="top"/>
          </w:tcPr>
          <w:p w14:paraId="3A2D7EDE">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5</w:t>
            </w:r>
          </w:p>
        </w:tc>
        <w:tc>
          <w:tcPr>
            <w:tcW w:w="1395" w:type="dxa"/>
          </w:tcPr>
          <w:p w14:paraId="052A39E1">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4.4万元</w:t>
            </w:r>
          </w:p>
        </w:tc>
        <w:tc>
          <w:tcPr>
            <w:tcW w:w="3660" w:type="dxa"/>
            <w:vMerge w:val="restart"/>
          </w:tcPr>
          <w:p w14:paraId="0519098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后期按需供货，价格有效期3年，从合同签订之日起算。</w:t>
            </w:r>
          </w:p>
        </w:tc>
      </w:tr>
      <w:tr w14:paraId="6262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8A8DF11">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03包</w:t>
            </w:r>
          </w:p>
        </w:tc>
        <w:tc>
          <w:tcPr>
            <w:tcW w:w="1905" w:type="dxa"/>
            <w:shd w:val="clear" w:color="auto" w:fill="auto"/>
            <w:vAlign w:val="top"/>
          </w:tcPr>
          <w:p w14:paraId="6848D24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驾驶式洗地机</w:t>
            </w:r>
          </w:p>
        </w:tc>
        <w:tc>
          <w:tcPr>
            <w:tcW w:w="870" w:type="dxa"/>
            <w:shd w:val="clear" w:color="auto" w:fill="auto"/>
            <w:vAlign w:val="top"/>
          </w:tcPr>
          <w:p w14:paraId="7079F17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台</w:t>
            </w:r>
          </w:p>
        </w:tc>
        <w:tc>
          <w:tcPr>
            <w:tcW w:w="870" w:type="dxa"/>
            <w:shd w:val="clear" w:color="auto" w:fill="auto"/>
            <w:vAlign w:val="top"/>
          </w:tcPr>
          <w:p w14:paraId="0FAEC34A">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w:t>
            </w:r>
          </w:p>
        </w:tc>
        <w:tc>
          <w:tcPr>
            <w:tcW w:w="1395" w:type="dxa"/>
          </w:tcPr>
          <w:p w14:paraId="5FDE60A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2.08</w:t>
            </w:r>
            <w:r>
              <w:rPr>
                <w:rFonts w:hint="eastAsia" w:ascii="宋体" w:hAnsi="宋体" w:eastAsia="宋体" w:cs="宋体"/>
                <w:sz w:val="28"/>
                <w:szCs w:val="28"/>
                <w:vertAlign w:val="baseline"/>
                <w:lang w:val="en-US" w:eastAsia="zh-CN"/>
              </w:rPr>
              <w:t>万元</w:t>
            </w:r>
          </w:p>
        </w:tc>
        <w:tc>
          <w:tcPr>
            <w:tcW w:w="3660" w:type="dxa"/>
            <w:vMerge w:val="continue"/>
          </w:tcPr>
          <w:p w14:paraId="588299B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eastAsia" w:ascii="宋体" w:hAnsi="宋体" w:eastAsia="宋体" w:cs="宋体"/>
                <w:sz w:val="28"/>
                <w:szCs w:val="28"/>
                <w:vertAlign w:val="baseline"/>
                <w:lang w:val="en-US" w:eastAsia="zh-CN"/>
              </w:rPr>
            </w:pPr>
          </w:p>
        </w:tc>
      </w:tr>
    </w:tbl>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31</w:t>
      </w:r>
      <w:r>
        <w:rPr>
          <w:rFonts w:hint="eastAsia" w:ascii="宋体" w:hAnsi="宋体" w:eastAsia="宋体" w:cs="宋体"/>
          <w:sz w:val="28"/>
          <w:szCs w:val="28"/>
        </w:rPr>
        <w:t>日至</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.内容要求：询价响应文件一式两份（一正一副，编排目录，胶装成册，密封完整），包括:报价单、资质、服务方案等；询价文件封面注明项目名称、包号、公司名称、联系人、联系电话。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7.询价地点：三台县人民医院行政楼二楼会议室（一），如有变动，另行通知。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bookmarkStart w:id="5" w:name="_GoBack"/>
      <w:bookmarkEnd w:id="5"/>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3"/>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053361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铝芯电缆</w:t>
      </w:r>
    </w:p>
    <w:p w14:paraId="0CD8CEF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一、技术参数</w:t>
      </w:r>
    </w:p>
    <w:p w14:paraId="03EA869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1.电缆参数：VLV-0.6/1kv铝芯聚氯乙烯绝缘聚氯乙烯护套电力电缆。</w:t>
      </w:r>
    </w:p>
    <w:p w14:paraId="66A3B41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2.电缆规格：1</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300</w:t>
      </w:r>
      <w:r>
        <w:rPr>
          <w:rFonts w:hint="eastAsia"/>
          <w:b w:val="0"/>
          <w:bCs w:val="0"/>
          <w:sz w:val="32"/>
          <w:szCs w:val="32"/>
          <w:lang w:val="en-US" w:eastAsia="zh-CN"/>
        </w:rPr>
        <w:t>mm</w:t>
      </w:r>
      <w:r>
        <w:rPr>
          <w:rFonts w:hint="eastAsia"/>
          <w:b w:val="0"/>
          <w:bCs w:val="0"/>
          <w:sz w:val="32"/>
          <w:szCs w:val="32"/>
          <w:vertAlign w:val="superscript"/>
          <w:lang w:val="en-US" w:eastAsia="zh-CN"/>
        </w:rPr>
        <w:t>2</w:t>
      </w:r>
      <w:r>
        <w:rPr>
          <w:rFonts w:hint="eastAsia" w:ascii="宋体" w:hAnsi="宋体" w:eastAsia="宋体" w:cs="宋体"/>
          <w:sz w:val="28"/>
          <w:szCs w:val="28"/>
          <w:lang w:val="en-US" w:eastAsia="zh-CN"/>
        </w:rPr>
        <w:t>。</w:t>
      </w:r>
    </w:p>
    <w:p w14:paraId="024F23C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二、商务要求</w:t>
      </w:r>
    </w:p>
    <w:p w14:paraId="08E117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1.交货时间：合同签订生效后15天内。</w:t>
      </w:r>
    </w:p>
    <w:p w14:paraId="45F1850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2.交货地点：三台县人民医院指定地点。</w:t>
      </w:r>
    </w:p>
    <w:p w14:paraId="071A67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65259C5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p>
    <w:p w14:paraId="7EC6BB8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钩臂垃圾箱</w:t>
      </w:r>
    </w:p>
    <w:p w14:paraId="7D3299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一、技术参数及要求</w:t>
      </w:r>
    </w:p>
    <w:p w14:paraId="4BCFDB1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1.外形尺寸：2700mm×1800mm×1200mm（长×宽×高）。</w:t>
      </w:r>
    </w:p>
    <w:p w14:paraId="268FA53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2.钩臂高度：990mm。</w:t>
      </w:r>
    </w:p>
    <w:p w14:paraId="5C8B6C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3.底部轨道：轨道宽度80mm，轨道间距840mm。</w:t>
      </w:r>
    </w:p>
    <w:p w14:paraId="6E1B54B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4.材质及厚度：Q235或Q345碳钢板，碳钢板边厚≥2mm，底厚≥3mm。</w:t>
      </w:r>
    </w:p>
    <w:p w14:paraId="2BA8858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5.箱体框架：方钢管≥50mm×30mm。</w:t>
      </w:r>
    </w:p>
    <w:p w14:paraId="1807AE8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6.投料口：箱体顶部两侧各设置投料口2个，共计4个投料口（在保证顶部稳固的情况下，投料口最大化）。</w:t>
      </w:r>
    </w:p>
    <w:p w14:paraId="5EBD4A1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7.防腐处理：双层防腐，订制外观样式，喷涂单位名称及其它垃圾。</w:t>
      </w:r>
    </w:p>
    <w:p w14:paraId="4CBAED2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8.其他要求：后门可全面开启，便于在垃圾处理厂进行自卸式倾倒；箱体后门底部安装2个直行轮或前后各两个。</w:t>
      </w:r>
    </w:p>
    <w:p w14:paraId="0DDF7C6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9.样式及外观颜色。</w:t>
      </w:r>
    </w:p>
    <w:p w14:paraId="1D59EC52">
      <w:pPr>
        <w:spacing w:line="240" w:lineRule="auto"/>
        <w:jc w:val="left"/>
      </w:pPr>
    </w:p>
    <w:p w14:paraId="0350AFF8">
      <w:pPr>
        <w:numPr>
          <w:ilvl w:val="0"/>
          <w:numId w:val="0"/>
        </w:numPr>
        <w:spacing w:line="240" w:lineRule="auto"/>
        <w:jc w:val="left"/>
        <w:rPr>
          <w:rFonts w:hint="default"/>
          <w:lang w:val="en-US" w:eastAsia="zh-CN"/>
        </w:rPr>
      </w:pPr>
      <w:r>
        <w:rPr>
          <w:rFonts w:hint="default"/>
          <w:lang w:val="en-US" w:eastAsia="zh-CN"/>
        </w:rPr>
        <w:drawing>
          <wp:inline distT="0" distB="0" distL="114300" distR="114300">
            <wp:extent cx="2806065" cy="2111375"/>
            <wp:effectExtent l="0" t="0" r="13335" b="3175"/>
            <wp:docPr id="2" name="图片 2" descr="IMG_20250303_18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03_180222"/>
                    <pic:cNvPicPr>
                      <a:picLocks noChangeAspect="1"/>
                    </pic:cNvPicPr>
                  </pic:nvPicPr>
                  <pic:blipFill>
                    <a:blip r:embed="rId4"/>
                    <a:stretch>
                      <a:fillRect/>
                    </a:stretch>
                  </pic:blipFill>
                  <pic:spPr>
                    <a:xfrm>
                      <a:off x="0" y="0"/>
                      <a:ext cx="2806065" cy="211137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816860" cy="2101850"/>
            <wp:effectExtent l="0" t="0" r="2540" b="12700"/>
            <wp:docPr id="3" name="图片 3" descr="IMG_20250303_18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303_180234"/>
                    <pic:cNvPicPr>
                      <a:picLocks noChangeAspect="1"/>
                    </pic:cNvPicPr>
                  </pic:nvPicPr>
                  <pic:blipFill>
                    <a:blip r:embed="rId5"/>
                    <a:stretch>
                      <a:fillRect/>
                    </a:stretch>
                  </pic:blipFill>
                  <pic:spPr>
                    <a:xfrm>
                      <a:off x="0" y="0"/>
                      <a:ext cx="2816860" cy="2101850"/>
                    </a:xfrm>
                    <a:prstGeom prst="rect">
                      <a:avLst/>
                    </a:prstGeom>
                  </pic:spPr>
                </pic:pic>
              </a:graphicData>
            </a:graphic>
          </wp:inline>
        </w:drawing>
      </w:r>
      <w:r>
        <w:drawing>
          <wp:inline distT="0" distB="0" distL="114300" distR="114300">
            <wp:extent cx="5716905" cy="3168015"/>
            <wp:effectExtent l="0" t="0" r="1714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16905" cy="3168015"/>
                    </a:xfrm>
                    <a:prstGeom prst="rect">
                      <a:avLst/>
                    </a:prstGeom>
                    <a:noFill/>
                    <a:ln>
                      <a:noFill/>
                    </a:ln>
                  </pic:spPr>
                </pic:pic>
              </a:graphicData>
            </a:graphic>
          </wp:inline>
        </w:drawing>
      </w:r>
    </w:p>
    <w:p w14:paraId="421DBC0F">
      <w:pPr>
        <w:numPr>
          <w:ilvl w:val="0"/>
          <w:numId w:val="0"/>
        </w:numPr>
        <w:spacing w:line="240" w:lineRule="auto"/>
        <w:jc w:val="left"/>
        <w:rPr>
          <w:rFonts w:hint="default"/>
          <w:lang w:val="en-US" w:eastAsia="zh-CN"/>
        </w:rPr>
      </w:pPr>
    </w:p>
    <w:p w14:paraId="0089DA2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二、商务要求</w:t>
      </w:r>
    </w:p>
    <w:p w14:paraId="729B0F2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1.交货期：合同签订后30日内交付使用。</w:t>
      </w:r>
    </w:p>
    <w:p w14:paraId="67F0CE5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2.质保期：质保1年。</w:t>
      </w:r>
    </w:p>
    <w:p w14:paraId="569E631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3.付款方式：安装调试完成、验收合格并收到发票后1个月内支付合同金额的95%，质保期满后设备无质量问题1个月内支付合同金额的5%。</w:t>
      </w:r>
    </w:p>
    <w:p w14:paraId="795C93F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4.售后服务：保修期内接到报修电话30分钟响应，4小时到达现场，24小时内完成维修更换。所有人工费、材料费、差旅费等各种费用由中标方支付。</w:t>
      </w:r>
    </w:p>
    <w:p w14:paraId="49A9628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165D0EE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p>
    <w:p w14:paraId="01CDD0B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03包 驾驶式洗地机</w:t>
      </w:r>
    </w:p>
    <w:p w14:paraId="5EF84DB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一、技术参数</w:t>
      </w:r>
    </w:p>
    <w:p w14:paraId="1E74FDF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外形尺寸:长度≤1800mm；宽度≤1050mm；高度≤1800mm</w:t>
      </w:r>
      <w:r>
        <w:rPr>
          <w:rFonts w:hint="eastAsia" w:ascii="宋体" w:hAnsi="宋体" w:eastAsia="宋体" w:cs="宋体"/>
          <w:b w:val="0"/>
          <w:bCs w:val="0"/>
          <w:sz w:val="28"/>
          <w:szCs w:val="28"/>
          <w:lang w:val="en-US" w:eastAsia="zh-CN"/>
        </w:rPr>
        <w:t>。</w:t>
      </w:r>
    </w:p>
    <w:p w14:paraId="0B009E5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功能：洗刷吸三合一</w:t>
      </w:r>
      <w:r>
        <w:rPr>
          <w:rFonts w:hint="eastAsia" w:ascii="宋体" w:hAnsi="宋体" w:eastAsia="宋体" w:cs="宋体"/>
          <w:b w:val="0"/>
          <w:bCs w:val="0"/>
          <w:sz w:val="28"/>
          <w:szCs w:val="28"/>
          <w:lang w:val="en-US" w:eastAsia="zh-CN"/>
        </w:rPr>
        <w:t>。</w:t>
      </w:r>
    </w:p>
    <w:p w14:paraId="46542B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充电模式:手动充电</w:t>
      </w:r>
      <w:r>
        <w:rPr>
          <w:rFonts w:hint="eastAsia" w:ascii="宋体" w:hAnsi="宋体" w:eastAsia="宋体" w:cs="宋体"/>
          <w:b w:val="0"/>
          <w:bCs w:val="0"/>
          <w:sz w:val="28"/>
          <w:szCs w:val="28"/>
          <w:lang w:val="en-US" w:eastAsia="zh-CN"/>
        </w:rPr>
        <w:t>。</w:t>
      </w:r>
    </w:p>
    <w:p w14:paraId="140CC53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电池类型:免维护锂电池</w:t>
      </w:r>
      <w:r>
        <w:rPr>
          <w:rFonts w:hint="eastAsia" w:ascii="宋体" w:hAnsi="宋体" w:eastAsia="宋体" w:cs="宋体"/>
          <w:b w:val="0"/>
          <w:bCs w:val="0"/>
          <w:sz w:val="28"/>
          <w:szCs w:val="28"/>
          <w:lang w:val="en-US" w:eastAsia="zh-CN"/>
        </w:rPr>
        <w:t>。</w:t>
      </w:r>
    </w:p>
    <w:p w14:paraId="617A2E0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电池容量:≥150AH</w:t>
      </w:r>
      <w:r>
        <w:rPr>
          <w:rFonts w:hint="eastAsia" w:ascii="宋体" w:hAnsi="宋体" w:eastAsia="宋体" w:cs="宋体"/>
          <w:b w:val="0"/>
          <w:bCs w:val="0"/>
          <w:sz w:val="28"/>
          <w:szCs w:val="28"/>
          <w:lang w:val="en-US" w:eastAsia="zh-CN"/>
        </w:rPr>
        <w:t>。</w:t>
      </w:r>
    </w:p>
    <w:p w14:paraId="127AB8A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噪音:≤70dB</w:t>
      </w:r>
      <w:r>
        <w:rPr>
          <w:rFonts w:hint="eastAsia" w:ascii="宋体" w:hAnsi="宋体" w:eastAsia="宋体" w:cs="宋体"/>
          <w:b w:val="0"/>
          <w:bCs w:val="0"/>
          <w:sz w:val="28"/>
          <w:szCs w:val="28"/>
          <w:lang w:val="en-US" w:eastAsia="zh-CN"/>
        </w:rPr>
        <w:t>。</w:t>
      </w:r>
    </w:p>
    <w:p w14:paraId="7ED0BD0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7</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爬坡能力:≥25%</w:t>
      </w:r>
      <w:r>
        <w:rPr>
          <w:rFonts w:hint="eastAsia" w:ascii="宋体" w:hAnsi="宋体" w:eastAsia="宋体" w:cs="宋体"/>
          <w:b w:val="0"/>
          <w:bCs w:val="0"/>
          <w:sz w:val="28"/>
          <w:szCs w:val="28"/>
          <w:lang w:val="en-US" w:eastAsia="zh-CN"/>
        </w:rPr>
        <w:t>。</w:t>
      </w:r>
    </w:p>
    <w:p w14:paraId="27675E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8</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工作效率:≥ 3000㎡/h</w:t>
      </w:r>
      <w:r>
        <w:rPr>
          <w:rFonts w:hint="eastAsia" w:ascii="宋体" w:hAnsi="宋体" w:eastAsia="宋体" w:cs="宋体"/>
          <w:b w:val="0"/>
          <w:bCs w:val="0"/>
          <w:sz w:val="28"/>
          <w:szCs w:val="28"/>
          <w:lang w:val="en-US" w:eastAsia="zh-CN"/>
        </w:rPr>
        <w:t>。</w:t>
      </w:r>
    </w:p>
    <w:p w14:paraId="22CBB0A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9</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清洁宽度:600mm-800mm</w:t>
      </w:r>
      <w:r>
        <w:rPr>
          <w:rFonts w:hint="eastAsia" w:ascii="宋体" w:hAnsi="宋体" w:eastAsia="宋体" w:cs="宋体"/>
          <w:b w:val="0"/>
          <w:bCs w:val="0"/>
          <w:sz w:val="28"/>
          <w:szCs w:val="28"/>
          <w:lang w:val="en-US" w:eastAsia="zh-CN"/>
        </w:rPr>
        <w:t>。</w:t>
      </w:r>
    </w:p>
    <w:p w14:paraId="0302D58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10</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吸水扒宽度:900-1050mm</w:t>
      </w:r>
      <w:r>
        <w:rPr>
          <w:rFonts w:hint="eastAsia" w:ascii="宋体" w:hAnsi="宋体" w:eastAsia="宋体" w:cs="宋体"/>
          <w:b w:val="0"/>
          <w:bCs w:val="0"/>
          <w:sz w:val="28"/>
          <w:szCs w:val="28"/>
          <w:lang w:val="en-US" w:eastAsia="zh-CN"/>
        </w:rPr>
        <w:t>。</w:t>
      </w:r>
    </w:p>
    <w:p w14:paraId="1774985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11</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续航时间:≥4小时</w:t>
      </w:r>
      <w:r>
        <w:rPr>
          <w:rFonts w:hint="eastAsia" w:ascii="宋体" w:hAnsi="宋体" w:eastAsia="宋体" w:cs="宋体"/>
          <w:b w:val="0"/>
          <w:bCs w:val="0"/>
          <w:sz w:val="28"/>
          <w:szCs w:val="28"/>
          <w:lang w:val="en-US" w:eastAsia="zh-CN"/>
        </w:rPr>
        <w:t>。</w:t>
      </w:r>
    </w:p>
    <w:p w14:paraId="63BBF3E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12</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清水容量:≥100L</w:t>
      </w:r>
      <w:r>
        <w:rPr>
          <w:rFonts w:hint="eastAsia" w:ascii="宋体" w:hAnsi="宋体" w:eastAsia="宋体" w:cs="宋体"/>
          <w:b w:val="0"/>
          <w:bCs w:val="0"/>
          <w:sz w:val="28"/>
          <w:szCs w:val="28"/>
          <w:lang w:val="en-US" w:eastAsia="zh-CN"/>
        </w:rPr>
        <w:t>。</w:t>
      </w:r>
    </w:p>
    <w:p w14:paraId="01582D8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13</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污水容量:≥100L</w:t>
      </w:r>
      <w:r>
        <w:rPr>
          <w:rFonts w:hint="eastAsia" w:ascii="宋体" w:hAnsi="宋体" w:eastAsia="宋体" w:cs="宋体"/>
          <w:b w:val="0"/>
          <w:bCs w:val="0"/>
          <w:sz w:val="28"/>
          <w:szCs w:val="28"/>
          <w:lang w:val="en-US" w:eastAsia="zh-CN"/>
        </w:rPr>
        <w:t>。</w:t>
      </w:r>
    </w:p>
    <w:p w14:paraId="5CA241E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二、商务要求及其他要求</w:t>
      </w:r>
    </w:p>
    <w:p w14:paraId="37C5ADF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投标人需对洗地机易损件及常用耗材进行详细报价。</w:t>
      </w:r>
    </w:p>
    <w:p w14:paraId="2BF1DB0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交货期：合同签订后15日内完成安装调试并交付使用。</w:t>
      </w:r>
    </w:p>
    <w:p w14:paraId="42364FD8">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保修期：整机保修期≥1年（含电瓶、电机等）。如国家或行业标准期限长于本项目保修期的，按国家或行业标准执行。</w:t>
      </w:r>
    </w:p>
    <w:p w14:paraId="2BF86B6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付款方式：分期付款，安装调试完成、验收合格并收到发票后30天内支付合同金额的95%，保修期满后设备无质量问题30天内支付合同金额的5%。</w:t>
      </w:r>
    </w:p>
    <w:p w14:paraId="7BDB1C1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售后服务：保修期内接到报修电话半小时响应，4小时到达现场，24小时内恢复设备正常运行。所有人工费、材料费、差旅费等各种费用由中标方支付。</w:t>
      </w:r>
    </w:p>
    <w:p w14:paraId="3882B40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本项目交付使用时中标方派专业技术人员对使用人员、管理人员进行培训，直至能独立操作，同时能完成一般常见故障的维修处理。</w:t>
      </w:r>
    </w:p>
    <w:p w14:paraId="69418E1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7B30222B">
      <w:pPr>
        <w:rPr>
          <w:rFonts w:hint="eastAsia" w:ascii="黑体" w:hAnsi="黑体" w:eastAsia="黑体" w:cs="黑体"/>
          <w:b w:val="0"/>
          <w:bCs/>
          <w:color w:val="000000"/>
          <w:sz w:val="28"/>
          <w:szCs w:val="28"/>
          <w:highlight w:val="none"/>
          <w:lang w:val="en-US" w:eastAsia="zh-CN"/>
        </w:rPr>
      </w:pPr>
    </w:p>
    <w:p w14:paraId="17770D7E">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A15DE4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cs="宋体"/>
          <w:b/>
          <w:bCs/>
          <w:sz w:val="32"/>
          <w:szCs w:val="32"/>
        </w:rPr>
      </w:pPr>
    </w:p>
    <w:p w14:paraId="7B506536">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3D3CBB64">
      <w:pPr>
        <w:spacing w:line="480" w:lineRule="auto"/>
        <w:ind w:firstLine="480" w:firstLineChars="200"/>
        <w:jc w:val="left"/>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r>
        <w:rPr>
          <w:rFonts w:hint="eastAsia"/>
          <w:sz w:val="24"/>
          <w:szCs w:val="24"/>
          <w:lang w:val="en-US" w:eastAsia="zh-CN"/>
        </w:rPr>
        <w:t>日    期：          年     月    日</w:t>
      </w:r>
      <w:bookmarkStart w:id="0" w:name="_Toc33709795"/>
      <w:bookmarkStart w:id="1" w:name="_Toc34051807"/>
      <w:bookmarkStart w:id="2" w:name="_Toc33698134"/>
      <w:bookmarkStart w:id="3" w:name="_Toc40447269"/>
      <w:bookmarkStart w:id="4" w:name="_Toc52036328"/>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75BC4"/>
    <w:multiLevelType w:val="singleLevel"/>
    <w:tmpl w:val="2E675B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2950E4"/>
    <w:rsid w:val="02AB03DD"/>
    <w:rsid w:val="032172E5"/>
    <w:rsid w:val="033C2BF5"/>
    <w:rsid w:val="03632827"/>
    <w:rsid w:val="038E441F"/>
    <w:rsid w:val="03E9691A"/>
    <w:rsid w:val="044E2BE0"/>
    <w:rsid w:val="04767D25"/>
    <w:rsid w:val="059705B7"/>
    <w:rsid w:val="05F9008E"/>
    <w:rsid w:val="060774EA"/>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4E629C1"/>
    <w:rsid w:val="151632A6"/>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4209B0"/>
    <w:rsid w:val="1F106FB8"/>
    <w:rsid w:val="1F2A7AB8"/>
    <w:rsid w:val="20C53DD2"/>
    <w:rsid w:val="21032E75"/>
    <w:rsid w:val="216B2BCB"/>
    <w:rsid w:val="219934FF"/>
    <w:rsid w:val="2205092A"/>
    <w:rsid w:val="22162B37"/>
    <w:rsid w:val="22995516"/>
    <w:rsid w:val="22A2261D"/>
    <w:rsid w:val="23075EAE"/>
    <w:rsid w:val="23591932"/>
    <w:rsid w:val="23971A56"/>
    <w:rsid w:val="24664C68"/>
    <w:rsid w:val="24FC762F"/>
    <w:rsid w:val="251315B0"/>
    <w:rsid w:val="25472F43"/>
    <w:rsid w:val="25C32FD6"/>
    <w:rsid w:val="25DA003F"/>
    <w:rsid w:val="26496649"/>
    <w:rsid w:val="265005E2"/>
    <w:rsid w:val="26E50D2A"/>
    <w:rsid w:val="26E66850"/>
    <w:rsid w:val="26F61189"/>
    <w:rsid w:val="27365AF8"/>
    <w:rsid w:val="274E2D73"/>
    <w:rsid w:val="27533EE6"/>
    <w:rsid w:val="27DD5EA5"/>
    <w:rsid w:val="27EB411E"/>
    <w:rsid w:val="28126853"/>
    <w:rsid w:val="289C18BC"/>
    <w:rsid w:val="29534671"/>
    <w:rsid w:val="29EA6657"/>
    <w:rsid w:val="2AE82B97"/>
    <w:rsid w:val="2B4648A9"/>
    <w:rsid w:val="2B582A9A"/>
    <w:rsid w:val="2BCD6C70"/>
    <w:rsid w:val="2BFA5278"/>
    <w:rsid w:val="2C34203F"/>
    <w:rsid w:val="2C597414"/>
    <w:rsid w:val="2C7C7699"/>
    <w:rsid w:val="2D1B54A6"/>
    <w:rsid w:val="2D5C161A"/>
    <w:rsid w:val="2D621327"/>
    <w:rsid w:val="2D744BB6"/>
    <w:rsid w:val="2DAF2092"/>
    <w:rsid w:val="2DB7624C"/>
    <w:rsid w:val="2E61338C"/>
    <w:rsid w:val="2E9D013C"/>
    <w:rsid w:val="2EF0746B"/>
    <w:rsid w:val="2F271D78"/>
    <w:rsid w:val="2F4847B6"/>
    <w:rsid w:val="30A9726C"/>
    <w:rsid w:val="31380265"/>
    <w:rsid w:val="315D4D67"/>
    <w:rsid w:val="316E7B6E"/>
    <w:rsid w:val="3253123E"/>
    <w:rsid w:val="32C03D43"/>
    <w:rsid w:val="33E348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BDB4052"/>
    <w:rsid w:val="3C017F5D"/>
    <w:rsid w:val="3C6329C5"/>
    <w:rsid w:val="3C843ADA"/>
    <w:rsid w:val="3CDB07AE"/>
    <w:rsid w:val="3DB11BBD"/>
    <w:rsid w:val="3DEE18D9"/>
    <w:rsid w:val="3E3D5ADC"/>
    <w:rsid w:val="3E4F1404"/>
    <w:rsid w:val="3E8F1BF0"/>
    <w:rsid w:val="3EA177D5"/>
    <w:rsid w:val="3ECB008A"/>
    <w:rsid w:val="3EF52BFA"/>
    <w:rsid w:val="3F823162"/>
    <w:rsid w:val="3FB11C9A"/>
    <w:rsid w:val="3FC01EDD"/>
    <w:rsid w:val="4024421A"/>
    <w:rsid w:val="403B1563"/>
    <w:rsid w:val="40EE0FA2"/>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144D9C"/>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2C579B"/>
    <w:rsid w:val="65CC6636"/>
    <w:rsid w:val="65D33E68"/>
    <w:rsid w:val="65FE1C7D"/>
    <w:rsid w:val="66263F98"/>
    <w:rsid w:val="66290628"/>
    <w:rsid w:val="663A47D5"/>
    <w:rsid w:val="66EA1469"/>
    <w:rsid w:val="672030DD"/>
    <w:rsid w:val="67627084"/>
    <w:rsid w:val="67D16185"/>
    <w:rsid w:val="67E47089"/>
    <w:rsid w:val="6810221F"/>
    <w:rsid w:val="68904760"/>
    <w:rsid w:val="695B21AB"/>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9B4C6A"/>
    <w:rsid w:val="6E9E14B7"/>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E55F35"/>
    <w:rsid w:val="79077C59"/>
    <w:rsid w:val="79711576"/>
    <w:rsid w:val="79B3393D"/>
    <w:rsid w:val="79BC6C95"/>
    <w:rsid w:val="79F434B3"/>
    <w:rsid w:val="7A6510DB"/>
    <w:rsid w:val="7A6A66F1"/>
    <w:rsid w:val="7A6F3D08"/>
    <w:rsid w:val="7ABE6A3D"/>
    <w:rsid w:val="7B2745E3"/>
    <w:rsid w:val="7B3960C4"/>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ED5610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Body Text Indent"/>
    <w:basedOn w:val="1"/>
    <w:autoRedefine/>
    <w:unhideWhenUsed/>
    <w:qFormat/>
    <w:uiPriority w:val="99"/>
    <w:pPr>
      <w:spacing w:after="120"/>
      <w:ind w:left="420" w:leftChars="200"/>
    </w:pPr>
  </w:style>
  <w:style w:type="paragraph" w:styleId="7">
    <w:name w:val="Balloon Text"/>
    <w:basedOn w:val="1"/>
    <w:link w:val="17"/>
    <w:autoRedefine/>
    <w:qFormat/>
    <w:uiPriority w:val="0"/>
    <w:rPr>
      <w:sz w:val="18"/>
      <w:szCs w:val="18"/>
    </w:rPr>
  </w:style>
  <w:style w:type="paragraph" w:styleId="8">
    <w:name w:val="envelope return"/>
    <w:basedOn w:val="1"/>
    <w:autoRedefine/>
    <w:qFormat/>
    <w:uiPriority w:val="0"/>
    <w:pPr>
      <w:snapToGrid w:val="0"/>
    </w:pPr>
    <w:rPr>
      <w:rFonts w:ascii="Arial" w:hAnsi="Arial"/>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4118</Words>
  <Characters>4430</Characters>
  <Lines>5</Lines>
  <Paragraphs>1</Paragraphs>
  <TotalTime>4</TotalTime>
  <ScaleCrop>false</ScaleCrop>
  <LinksUpToDate>false</LinksUpToDate>
  <CharactersWithSpaces>5137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2025-03-28T00:07:02Z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